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1EC39" w14:textId="77777777" w:rsidR="007E7FE1" w:rsidRPr="00AC5FFA" w:rsidRDefault="00CE4EDE" w:rsidP="00ED63FE">
      <w:pPr>
        <w:pStyle w:val="Title"/>
        <w:tabs>
          <w:tab w:val="left" w:pos="2160"/>
          <w:tab w:val="left" w:pos="3930"/>
        </w:tabs>
      </w:pPr>
      <w:bookmarkStart w:id="0" w:name="_GoBack"/>
      <w:bookmarkEnd w:id="0"/>
      <w:r>
        <w:rPr>
          <w:noProof/>
        </w:rPr>
        <w:drawing>
          <wp:anchor distT="0" distB="0" distL="114300" distR="114300" simplePos="0" relativeHeight="251665408" behindDoc="1" locked="0" layoutInCell="1" allowOverlap="1" wp14:anchorId="507F4392" wp14:editId="3D502609">
            <wp:simplePos x="0" y="0"/>
            <wp:positionH relativeFrom="page">
              <wp:align>center</wp:align>
            </wp:positionH>
            <wp:positionV relativeFrom="page">
              <wp:align>center</wp:align>
            </wp:positionV>
            <wp:extent cx="7585200" cy="1072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5200" cy="107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FE1" w:rsidRPr="00AC5FFA">
        <w:rPr>
          <w:noProof/>
        </w:rPr>
        <w:drawing>
          <wp:anchor distT="0" distB="0" distL="114300" distR="114300" simplePos="0" relativeHeight="251662336" behindDoc="1" locked="0" layoutInCell="1" allowOverlap="1" wp14:anchorId="46CFF39F" wp14:editId="32C1F820">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r w:rsidR="00ED63FE">
        <w:tab/>
      </w:r>
      <w:r w:rsidR="00ED63FE">
        <w:tab/>
      </w:r>
    </w:p>
    <w:p w14:paraId="6900499B" w14:textId="77777777" w:rsidR="007E7FE1" w:rsidRPr="00AC5FFA" w:rsidRDefault="00ED63FE" w:rsidP="00ED63FE">
      <w:pPr>
        <w:pStyle w:val="Title"/>
        <w:tabs>
          <w:tab w:val="left" w:pos="3120"/>
          <w:tab w:val="center" w:pos="4722"/>
        </w:tabs>
      </w:pPr>
      <w:r>
        <w:tab/>
      </w:r>
      <w:r>
        <w:tab/>
      </w:r>
    </w:p>
    <w:p w14:paraId="4B14A5BC" w14:textId="77777777" w:rsidR="007E7FE1" w:rsidRPr="00AC5FFA" w:rsidRDefault="007E7FE1" w:rsidP="009B6635">
      <w:pPr>
        <w:pStyle w:val="Title"/>
      </w:pPr>
    </w:p>
    <w:p w14:paraId="722702BF" w14:textId="77777777" w:rsidR="007E7FE1" w:rsidRPr="00AC5FFA" w:rsidRDefault="007E7FE1" w:rsidP="009B6635">
      <w:pPr>
        <w:pStyle w:val="Title"/>
      </w:pPr>
    </w:p>
    <w:p w14:paraId="5DA15757" w14:textId="77777777" w:rsidR="007E7FE1" w:rsidRPr="00AC5FFA" w:rsidRDefault="007E7FE1" w:rsidP="009B6635">
      <w:pPr>
        <w:pStyle w:val="Title"/>
      </w:pPr>
    </w:p>
    <w:p w14:paraId="11A08B7C" w14:textId="77777777" w:rsidR="007E7FE1" w:rsidRPr="00AC5FFA" w:rsidRDefault="007E7FE1" w:rsidP="009B6635">
      <w:pPr>
        <w:pStyle w:val="Title"/>
      </w:pPr>
    </w:p>
    <w:p w14:paraId="5713D695" w14:textId="77777777" w:rsidR="007E7FE1" w:rsidRPr="00AC5FFA" w:rsidRDefault="007E7FE1" w:rsidP="009B6635">
      <w:pPr>
        <w:pStyle w:val="Title"/>
      </w:pPr>
    </w:p>
    <w:p w14:paraId="2F1BF75C" w14:textId="77777777" w:rsidR="007E7FE1" w:rsidRPr="00AC5FFA" w:rsidRDefault="007E7FE1" w:rsidP="009B6635">
      <w:pPr>
        <w:pStyle w:val="Title"/>
      </w:pPr>
    </w:p>
    <w:p w14:paraId="5EED471B" w14:textId="77777777" w:rsidR="007E7FE1" w:rsidRPr="00AC5FFA" w:rsidRDefault="007E7FE1" w:rsidP="009B6635">
      <w:pPr>
        <w:pStyle w:val="Title"/>
      </w:pPr>
    </w:p>
    <w:p w14:paraId="4FCDC9F9" w14:textId="77777777" w:rsidR="007E7FE1" w:rsidRPr="00AC5FFA" w:rsidRDefault="00FF378A" w:rsidP="00AC5FFA">
      <w:pPr>
        <w:pStyle w:val="Title"/>
        <w:rPr>
          <w:sz w:val="16"/>
          <w:szCs w:val="16"/>
        </w:rPr>
      </w:pPr>
      <w:r w:rsidRPr="00AC5FFA">
        <w:rPr>
          <w:noProof/>
          <w:lang w:eastAsia="en-AU"/>
        </w:rPr>
        <mc:AlternateContent>
          <mc:Choice Requires="wps">
            <w:drawing>
              <wp:anchor distT="0" distB="0" distL="114300" distR="114300" simplePos="0" relativeHeight="251659264" behindDoc="0" locked="0" layoutInCell="1" allowOverlap="1" wp14:anchorId="5658A38A" wp14:editId="2186BCA7">
                <wp:simplePos x="0" y="0"/>
                <wp:positionH relativeFrom="column">
                  <wp:posOffset>-685800</wp:posOffset>
                </wp:positionH>
                <wp:positionV relativeFrom="paragraph">
                  <wp:posOffset>3379470</wp:posOffset>
                </wp:positionV>
                <wp:extent cx="4457700" cy="104203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C5876" w14:textId="77777777" w:rsidR="00DB0E6B" w:rsidRPr="00AC5FFA" w:rsidRDefault="00DB0E6B" w:rsidP="00C469DE">
                            <w:pPr>
                              <w:rPr>
                                <w:rFonts w:ascii="Century Gothic" w:hAnsi="Century Gothic"/>
                              </w:rPr>
                            </w:pPr>
                            <w:r w:rsidRPr="000A5874">
                              <w:rPr>
                                <w:rFonts w:ascii="Century Gothic" w:hAnsi="Century Gothic"/>
                                <w:b/>
                                <w:caps/>
                                <w:noProof/>
                                <w:color w:val="FFFFFF"/>
                                <w:sz w:val="60"/>
                                <w:szCs w:val="60"/>
                              </w:rPr>
                              <w:t>Hume City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58A38A" id="_x0000_t202" coordsize="21600,21600" o:spt="202" path="m,l,21600r21600,l21600,xe">
                <v:stroke joinstyle="miter"/>
                <v:path gradientshapeok="t" o:connecttype="rect"/>
              </v:shapetype>
              <v:shape id="Text Box 2" o:spid="_x0000_s1026" type="#_x0000_t202" style="position:absolute;margin-left:-54pt;margin-top:266.1pt;width:351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9BtAIAALo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" filled="f" stroked="f">
                <v:textbox>
                  <w:txbxContent>
                    <w:p w14:paraId="4A1C5876" w14:textId="77777777" w:rsidR="00DB0E6B" w:rsidRPr="00AC5FFA" w:rsidRDefault="00DB0E6B" w:rsidP="00C469DE">
                      <w:pPr>
                        <w:rPr>
                          <w:rFonts w:ascii="Century Gothic" w:hAnsi="Century Gothic"/>
                        </w:rPr>
                      </w:pPr>
                      <w:r w:rsidRPr="000A5874">
                        <w:rPr>
                          <w:rFonts w:ascii="Century Gothic" w:hAnsi="Century Gothic"/>
                          <w:b/>
                          <w:caps/>
                          <w:noProof/>
                          <w:color w:val="FFFFFF"/>
                          <w:sz w:val="60"/>
                          <w:szCs w:val="60"/>
                        </w:rPr>
                        <w:t>Hume City Council</w:t>
                      </w:r>
                    </w:p>
                  </w:txbxContent>
                </v:textbox>
              </v:shape>
            </w:pict>
          </mc:Fallback>
        </mc:AlternateContent>
      </w:r>
      <w:r w:rsidRPr="00AC5FFA">
        <w:rPr>
          <w:noProof/>
          <w:lang w:eastAsia="en-AU"/>
        </w:rPr>
        <mc:AlternateContent>
          <mc:Choice Requires="wps">
            <w:drawing>
              <wp:anchor distT="0" distB="0" distL="114300" distR="114300" simplePos="0" relativeHeight="251660288" behindDoc="0" locked="0" layoutInCell="1" allowOverlap="1" wp14:anchorId="49000C23" wp14:editId="21DE80C5">
                <wp:simplePos x="0" y="0"/>
                <wp:positionH relativeFrom="column">
                  <wp:posOffset>-662940</wp:posOffset>
                </wp:positionH>
                <wp:positionV relativeFrom="paragraph">
                  <wp:posOffset>3994150</wp:posOffset>
                </wp:positionV>
                <wp:extent cx="2430145" cy="749935"/>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C9085" w14:textId="77777777" w:rsidR="00DB0E6B" w:rsidRPr="00AC5FFA" w:rsidRDefault="00DB0E6B"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00C23" id="Text Box 9" o:spid="_x0000_s1027" type="#_x0000_t202" style="position:absolute;margin-left:-52.2pt;margin-top:314.5pt;width:191.35pt;height:5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nyuA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" filled="f" stroked="f">
                <v:textbox>
                  <w:txbxContent>
                    <w:p w14:paraId="42BC9085" w14:textId="77777777" w:rsidR="00DB0E6B" w:rsidRPr="00AC5FFA" w:rsidRDefault="00DB0E6B"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v:textbox>
              </v:shape>
            </w:pict>
          </mc:Fallback>
        </mc:AlternateContent>
      </w:r>
      <w:r w:rsidR="007E7FE1" w:rsidRPr="00AC5FFA">
        <w:rPr>
          <w:noProof/>
        </w:rPr>
        <w:drawing>
          <wp:anchor distT="0" distB="0" distL="114300" distR="114300" simplePos="0" relativeHeight="251661312" behindDoc="0" locked="0" layoutInCell="1" allowOverlap="1" wp14:anchorId="6FFEC82D" wp14:editId="1C52528C">
            <wp:simplePos x="0" y="0"/>
            <wp:positionH relativeFrom="column">
              <wp:posOffset>2376170</wp:posOffset>
            </wp:positionH>
            <wp:positionV relativeFrom="paragraph">
              <wp:posOffset>8255</wp:posOffset>
            </wp:positionV>
            <wp:extent cx="340360" cy="478155"/>
            <wp:effectExtent l="0" t="0" r="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r w:rsidR="007E7FE1" w:rsidRPr="00AC5FFA">
        <w:rPr>
          <w:noProof/>
          <w:color w:val="FFFFFF"/>
          <w:sz w:val="46"/>
          <w:szCs w:val="46"/>
        </w:rPr>
        <w:br w:type="page"/>
      </w:r>
    </w:p>
    <w:p w14:paraId="24CA3644" w14:textId="77777777" w:rsidR="007E7FE1" w:rsidRPr="00AC5FFA" w:rsidRDefault="007E7FE1" w:rsidP="00280BE4">
      <w:pPr>
        <w:spacing w:before="240"/>
        <w:ind w:right="4064"/>
        <w:rPr>
          <w:rFonts w:ascii="Century Gothic" w:hAnsi="Century Gothic"/>
          <w:sz w:val="16"/>
          <w:szCs w:val="16"/>
        </w:rPr>
      </w:pPr>
    </w:p>
    <w:p w14:paraId="7C909C40" w14:textId="77777777" w:rsidR="007E7FE1" w:rsidRPr="00AC5FFA" w:rsidRDefault="007E7FE1" w:rsidP="00280BE4">
      <w:pPr>
        <w:spacing w:before="240"/>
        <w:ind w:right="4064"/>
        <w:rPr>
          <w:rFonts w:ascii="Century Gothic" w:hAnsi="Century Gothic"/>
          <w:sz w:val="16"/>
          <w:szCs w:val="16"/>
        </w:rPr>
      </w:pPr>
    </w:p>
    <w:p w14:paraId="52C74360" w14:textId="77777777" w:rsidR="007E7FE1" w:rsidRPr="00AC5FFA" w:rsidRDefault="007E7FE1" w:rsidP="00280BE4">
      <w:pPr>
        <w:spacing w:before="240"/>
        <w:ind w:right="4064"/>
        <w:rPr>
          <w:rFonts w:ascii="Century Gothic" w:hAnsi="Century Gothic"/>
          <w:sz w:val="16"/>
          <w:szCs w:val="16"/>
        </w:rPr>
      </w:pPr>
    </w:p>
    <w:p w14:paraId="4170AB18" w14:textId="77777777" w:rsidR="007E7FE1" w:rsidRPr="00AC5FFA" w:rsidRDefault="007E7FE1" w:rsidP="00280BE4">
      <w:pPr>
        <w:spacing w:before="240"/>
        <w:ind w:right="4064"/>
        <w:rPr>
          <w:rFonts w:ascii="Century Gothic" w:hAnsi="Century Gothic"/>
          <w:sz w:val="16"/>
          <w:szCs w:val="16"/>
        </w:rPr>
      </w:pPr>
    </w:p>
    <w:p w14:paraId="1A607CCE" w14:textId="77777777" w:rsidR="007E7FE1" w:rsidRPr="00AC5FFA" w:rsidRDefault="007E7FE1" w:rsidP="00280BE4">
      <w:pPr>
        <w:spacing w:before="240"/>
        <w:ind w:right="4064"/>
        <w:rPr>
          <w:rFonts w:ascii="Century Gothic" w:hAnsi="Century Gothic"/>
          <w:sz w:val="16"/>
          <w:szCs w:val="16"/>
        </w:rPr>
      </w:pPr>
    </w:p>
    <w:p w14:paraId="02A0B073" w14:textId="77777777" w:rsidR="007E7FE1" w:rsidRPr="00AC5FFA" w:rsidRDefault="007E7FE1" w:rsidP="00280BE4">
      <w:pPr>
        <w:spacing w:before="240"/>
        <w:ind w:right="4064"/>
        <w:rPr>
          <w:rFonts w:ascii="Century Gothic" w:hAnsi="Century Gothic"/>
          <w:sz w:val="16"/>
          <w:szCs w:val="16"/>
        </w:rPr>
      </w:pPr>
    </w:p>
    <w:p w14:paraId="699DD56F" w14:textId="77777777" w:rsidR="007E7FE1" w:rsidRPr="00AC5FFA" w:rsidRDefault="007E7FE1" w:rsidP="00280BE4">
      <w:pPr>
        <w:spacing w:before="240"/>
        <w:ind w:right="4064"/>
        <w:rPr>
          <w:rFonts w:ascii="Century Gothic" w:hAnsi="Century Gothic"/>
          <w:sz w:val="16"/>
          <w:szCs w:val="16"/>
        </w:rPr>
      </w:pPr>
    </w:p>
    <w:p w14:paraId="6712033A" w14:textId="77777777" w:rsidR="007E7FE1" w:rsidRPr="00AC5FFA" w:rsidRDefault="007E7FE1" w:rsidP="00280BE4">
      <w:pPr>
        <w:spacing w:before="240"/>
        <w:ind w:right="4064"/>
        <w:rPr>
          <w:rFonts w:ascii="Century Gothic" w:hAnsi="Century Gothic"/>
          <w:sz w:val="16"/>
          <w:szCs w:val="16"/>
        </w:rPr>
      </w:pPr>
    </w:p>
    <w:p w14:paraId="3912BB3C" w14:textId="77777777" w:rsidR="007E7FE1" w:rsidRPr="00AC5FFA" w:rsidRDefault="007E7FE1" w:rsidP="00280BE4">
      <w:pPr>
        <w:spacing w:before="240"/>
        <w:ind w:right="4064"/>
        <w:rPr>
          <w:rFonts w:ascii="Century Gothic" w:hAnsi="Century Gothic"/>
          <w:sz w:val="16"/>
          <w:szCs w:val="16"/>
        </w:rPr>
      </w:pPr>
    </w:p>
    <w:p w14:paraId="1EA5CD9B" w14:textId="77777777" w:rsidR="007E7FE1" w:rsidRPr="00AC5FFA" w:rsidRDefault="007E7FE1" w:rsidP="00280BE4">
      <w:pPr>
        <w:spacing w:before="240"/>
        <w:ind w:right="4064"/>
        <w:rPr>
          <w:rFonts w:ascii="Century Gothic" w:hAnsi="Century Gothic"/>
          <w:sz w:val="16"/>
          <w:szCs w:val="16"/>
        </w:rPr>
      </w:pPr>
    </w:p>
    <w:p w14:paraId="59CD80DC" w14:textId="77777777" w:rsidR="007E7FE1" w:rsidRPr="00AC5FFA" w:rsidRDefault="007E7FE1" w:rsidP="00280BE4">
      <w:pPr>
        <w:spacing w:before="240"/>
        <w:ind w:right="4064"/>
        <w:rPr>
          <w:rFonts w:ascii="Century Gothic" w:hAnsi="Century Gothic"/>
          <w:sz w:val="16"/>
          <w:szCs w:val="16"/>
        </w:rPr>
      </w:pPr>
    </w:p>
    <w:p w14:paraId="3BD551B0" w14:textId="77777777" w:rsidR="007E7FE1" w:rsidRPr="00AC5FFA" w:rsidRDefault="007E7FE1" w:rsidP="00280BE4">
      <w:pPr>
        <w:spacing w:before="240"/>
        <w:ind w:right="4064"/>
        <w:rPr>
          <w:rFonts w:ascii="Century Gothic" w:hAnsi="Century Gothic"/>
          <w:sz w:val="16"/>
          <w:szCs w:val="16"/>
        </w:rPr>
      </w:pPr>
    </w:p>
    <w:p w14:paraId="01AB97A5" w14:textId="77777777" w:rsidR="007E7FE1" w:rsidRPr="00AC5FFA" w:rsidRDefault="007E7FE1" w:rsidP="00280BE4">
      <w:pPr>
        <w:spacing w:before="240"/>
        <w:ind w:right="4064"/>
        <w:rPr>
          <w:rFonts w:ascii="Century Gothic" w:hAnsi="Century Gothic"/>
          <w:sz w:val="16"/>
          <w:szCs w:val="16"/>
        </w:rPr>
      </w:pPr>
    </w:p>
    <w:p w14:paraId="2EE54C17" w14:textId="77777777" w:rsidR="007E7FE1" w:rsidRPr="00AC5FFA" w:rsidRDefault="007E7FE1" w:rsidP="00280BE4">
      <w:pPr>
        <w:spacing w:before="240"/>
        <w:ind w:right="4064"/>
        <w:rPr>
          <w:rFonts w:ascii="Century Gothic" w:hAnsi="Century Gothic"/>
          <w:sz w:val="16"/>
          <w:szCs w:val="16"/>
        </w:rPr>
      </w:pPr>
    </w:p>
    <w:p w14:paraId="2DA4DC36" w14:textId="77777777" w:rsidR="007E7FE1" w:rsidRPr="00AC5FFA" w:rsidRDefault="007E7FE1" w:rsidP="00280BE4">
      <w:pPr>
        <w:spacing w:before="240"/>
        <w:ind w:right="4064"/>
        <w:rPr>
          <w:rFonts w:ascii="Century Gothic" w:hAnsi="Century Gothic"/>
          <w:sz w:val="16"/>
          <w:szCs w:val="16"/>
        </w:rPr>
      </w:pPr>
    </w:p>
    <w:p w14:paraId="28A0C388" w14:textId="77777777" w:rsidR="007E7FE1" w:rsidRPr="00AC5FFA" w:rsidRDefault="007E7FE1" w:rsidP="00280BE4">
      <w:pPr>
        <w:spacing w:before="240"/>
        <w:ind w:right="4064"/>
        <w:rPr>
          <w:rFonts w:ascii="Century Gothic" w:hAnsi="Century Gothic"/>
          <w:sz w:val="16"/>
          <w:szCs w:val="16"/>
        </w:rPr>
      </w:pPr>
    </w:p>
    <w:p w14:paraId="3A7A0FEC" w14:textId="77777777" w:rsidR="007E7FE1" w:rsidRPr="00AC5FFA" w:rsidRDefault="007E7FE1" w:rsidP="00280BE4">
      <w:pPr>
        <w:spacing w:before="240"/>
        <w:ind w:right="4064"/>
        <w:rPr>
          <w:rFonts w:ascii="Century Gothic" w:hAnsi="Century Gothic"/>
          <w:sz w:val="16"/>
          <w:szCs w:val="16"/>
        </w:rPr>
      </w:pPr>
    </w:p>
    <w:p w14:paraId="77C1B091" w14:textId="77777777" w:rsidR="007E7FE1" w:rsidRPr="00AC5FFA" w:rsidRDefault="007E7FE1" w:rsidP="00280BE4">
      <w:pPr>
        <w:spacing w:before="240"/>
        <w:ind w:right="4064"/>
        <w:rPr>
          <w:rFonts w:ascii="Century Gothic" w:hAnsi="Century Gothic"/>
          <w:sz w:val="16"/>
          <w:szCs w:val="16"/>
        </w:rPr>
      </w:pPr>
    </w:p>
    <w:p w14:paraId="5C9F90BA" w14:textId="77777777" w:rsidR="007E7FE1" w:rsidRPr="00AC5FFA" w:rsidRDefault="007E7FE1" w:rsidP="00280BE4">
      <w:pPr>
        <w:spacing w:before="240"/>
        <w:ind w:right="4064"/>
        <w:rPr>
          <w:rFonts w:ascii="Century Gothic" w:hAnsi="Century Gothic"/>
          <w:sz w:val="16"/>
          <w:szCs w:val="16"/>
        </w:rPr>
      </w:pPr>
    </w:p>
    <w:p w14:paraId="708018B1" w14:textId="77777777" w:rsidR="007E7FE1" w:rsidRPr="00AC5FFA" w:rsidRDefault="007E7FE1" w:rsidP="00280BE4">
      <w:pPr>
        <w:spacing w:before="240"/>
        <w:ind w:right="4064"/>
        <w:rPr>
          <w:rFonts w:ascii="Century Gothic" w:hAnsi="Century Gothic"/>
          <w:sz w:val="16"/>
          <w:szCs w:val="16"/>
        </w:rPr>
      </w:pPr>
    </w:p>
    <w:p w14:paraId="7D40386E" w14:textId="77777777" w:rsidR="007E7FE1" w:rsidRPr="00AC5FFA" w:rsidRDefault="007E7FE1" w:rsidP="00280BE4">
      <w:pPr>
        <w:spacing w:before="240"/>
        <w:ind w:right="4064"/>
        <w:rPr>
          <w:rFonts w:ascii="Century Gothic" w:hAnsi="Century Gothic"/>
          <w:sz w:val="16"/>
          <w:szCs w:val="16"/>
        </w:rPr>
      </w:pPr>
    </w:p>
    <w:p w14:paraId="23C1D72A" w14:textId="77777777" w:rsidR="007E7FE1" w:rsidRPr="00AC5FFA" w:rsidRDefault="007E7FE1" w:rsidP="00280BE4">
      <w:pPr>
        <w:spacing w:before="240"/>
        <w:ind w:right="4064"/>
        <w:rPr>
          <w:rFonts w:ascii="Century Gothic" w:hAnsi="Century Gothic"/>
          <w:sz w:val="16"/>
          <w:szCs w:val="16"/>
        </w:rPr>
      </w:pPr>
    </w:p>
    <w:p w14:paraId="5E681BD4" w14:textId="77777777" w:rsidR="007E7FE1" w:rsidRPr="00AC5FFA" w:rsidRDefault="007E7FE1" w:rsidP="00280BE4">
      <w:pPr>
        <w:spacing w:before="240"/>
        <w:ind w:right="4064"/>
        <w:rPr>
          <w:rFonts w:ascii="Century Gothic" w:hAnsi="Century Gothic"/>
          <w:sz w:val="16"/>
          <w:szCs w:val="16"/>
        </w:rPr>
      </w:pPr>
    </w:p>
    <w:p w14:paraId="5B008F59" w14:textId="77777777" w:rsidR="007E7FE1" w:rsidRPr="00AC5FFA" w:rsidRDefault="007E7FE1" w:rsidP="00280BE4">
      <w:pPr>
        <w:spacing w:before="240"/>
        <w:ind w:right="4064"/>
        <w:rPr>
          <w:rFonts w:ascii="Century Gothic" w:hAnsi="Century Gothic"/>
          <w:sz w:val="16"/>
          <w:szCs w:val="16"/>
        </w:rPr>
      </w:pPr>
    </w:p>
    <w:p w14:paraId="3F88226C" w14:textId="77777777" w:rsidR="007E7FE1" w:rsidRPr="00AC5FFA" w:rsidRDefault="007E7FE1" w:rsidP="00280BE4">
      <w:pPr>
        <w:spacing w:before="240"/>
        <w:ind w:right="4064"/>
        <w:rPr>
          <w:rFonts w:ascii="Century Gothic" w:hAnsi="Century Gothic"/>
          <w:sz w:val="16"/>
          <w:szCs w:val="16"/>
        </w:rPr>
      </w:pPr>
    </w:p>
    <w:p w14:paraId="649D61F3" w14:textId="77777777" w:rsidR="007E7FE1" w:rsidRPr="00AC5FFA" w:rsidRDefault="007E7FE1" w:rsidP="00280BE4">
      <w:pPr>
        <w:spacing w:before="240"/>
        <w:ind w:right="4064"/>
        <w:rPr>
          <w:rFonts w:ascii="Century Gothic" w:hAnsi="Century Gothic"/>
          <w:sz w:val="16"/>
          <w:szCs w:val="16"/>
        </w:rPr>
      </w:pPr>
    </w:p>
    <w:p w14:paraId="04C38385" w14:textId="77777777" w:rsidR="007E7FE1" w:rsidRPr="00AC5FFA" w:rsidRDefault="007E7FE1">
      <w:pPr>
        <w:rPr>
          <w:rFonts w:ascii="Century Gothic" w:hAnsi="Century Gothic"/>
          <w:sz w:val="16"/>
          <w:szCs w:val="16"/>
        </w:rPr>
      </w:pPr>
      <w:r w:rsidRPr="00AC5FFA">
        <w:rPr>
          <w:rFonts w:ascii="Century Gothic" w:hAnsi="Century Gothic"/>
          <w:sz w:val="16"/>
          <w:szCs w:val="16"/>
        </w:rPr>
        <w:br w:type="page"/>
      </w:r>
    </w:p>
    <w:p w14:paraId="5B99296E" w14:textId="77777777" w:rsidR="007E7FE1" w:rsidRPr="00AC5FFA" w:rsidRDefault="007E7FE1">
      <w:pPr>
        <w:pStyle w:val="Headingcontents"/>
      </w:pPr>
      <w:r w:rsidRPr="00AC5FFA">
        <w:lastRenderedPageBreak/>
        <w:t>Contents</w:t>
      </w:r>
    </w:p>
    <w:p w14:paraId="1DD74FEF" w14:textId="77777777" w:rsidR="005D05B8" w:rsidRDefault="001002D4">
      <w:pPr>
        <w:pStyle w:val="TOC1"/>
        <w:rPr>
          <w:rFonts w:asciiTheme="minorHAnsi" w:eastAsiaTheme="minorEastAsia" w:hAnsiTheme="minorHAnsi" w:cstheme="minorBidi"/>
          <w:b w:val="0"/>
          <w:noProof/>
          <w:sz w:val="22"/>
          <w:lang w:eastAsia="en-AU"/>
        </w:rPr>
      </w:pPr>
      <w:r>
        <w:rPr>
          <w:rFonts w:asciiTheme="minorHAnsi" w:eastAsiaTheme="minorEastAsia" w:hAnsiTheme="minorHAnsi" w:cstheme="minorBidi"/>
          <w:b w:val="0"/>
          <w:noProof/>
          <w:sz w:val="22"/>
          <w:lang w:eastAsia="en-AU"/>
        </w:rPr>
        <w:fldChar w:fldCharType="begin"/>
      </w:r>
      <w:r>
        <w:rPr>
          <w:rFonts w:asciiTheme="minorHAnsi" w:eastAsiaTheme="minorEastAsia" w:hAnsiTheme="minorHAnsi" w:cstheme="minorBidi"/>
          <w:b w:val="0"/>
          <w:noProof/>
          <w:sz w:val="22"/>
          <w:lang w:eastAsia="en-AU"/>
        </w:rPr>
        <w:instrText xml:space="preserve"> TOC \o "1-2" \h \z \u </w:instrText>
      </w:r>
      <w:r>
        <w:rPr>
          <w:rFonts w:asciiTheme="minorHAnsi" w:eastAsiaTheme="minorEastAsia" w:hAnsiTheme="minorHAnsi" w:cstheme="minorBidi"/>
          <w:b w:val="0"/>
          <w:noProof/>
          <w:sz w:val="22"/>
          <w:lang w:eastAsia="en-AU"/>
        </w:rPr>
        <w:fldChar w:fldCharType="separate"/>
      </w:r>
      <w:hyperlink w:anchor="_Toc37332235" w:history="1">
        <w:r w:rsidR="005D05B8" w:rsidRPr="005B1CAF">
          <w:rPr>
            <w:rStyle w:val="Hyperlink"/>
            <w:noProof/>
          </w:rPr>
          <w:t>Recommendation</w:t>
        </w:r>
        <w:r w:rsidR="005D05B8">
          <w:rPr>
            <w:noProof/>
            <w:webHidden/>
          </w:rPr>
          <w:tab/>
        </w:r>
        <w:r w:rsidR="005D05B8">
          <w:rPr>
            <w:noProof/>
            <w:webHidden/>
          </w:rPr>
          <w:fldChar w:fldCharType="begin"/>
        </w:r>
        <w:r w:rsidR="005D05B8">
          <w:rPr>
            <w:noProof/>
            <w:webHidden/>
          </w:rPr>
          <w:instrText xml:space="preserve"> PAGEREF _Toc37332235 \h </w:instrText>
        </w:r>
        <w:r w:rsidR="005D05B8">
          <w:rPr>
            <w:noProof/>
            <w:webHidden/>
          </w:rPr>
        </w:r>
        <w:r w:rsidR="005D05B8">
          <w:rPr>
            <w:noProof/>
            <w:webHidden/>
          </w:rPr>
          <w:fldChar w:fldCharType="separate"/>
        </w:r>
        <w:r w:rsidR="005D05B8">
          <w:rPr>
            <w:noProof/>
            <w:webHidden/>
          </w:rPr>
          <w:t>1</w:t>
        </w:r>
        <w:r w:rsidR="005D05B8">
          <w:rPr>
            <w:noProof/>
            <w:webHidden/>
          </w:rPr>
          <w:fldChar w:fldCharType="end"/>
        </w:r>
      </w:hyperlink>
    </w:p>
    <w:p w14:paraId="682237AC" w14:textId="77777777" w:rsidR="005D05B8" w:rsidRDefault="00B33B7D">
      <w:pPr>
        <w:pStyle w:val="TOC1"/>
        <w:rPr>
          <w:rFonts w:asciiTheme="minorHAnsi" w:eastAsiaTheme="minorEastAsia" w:hAnsiTheme="minorHAnsi" w:cstheme="minorBidi"/>
          <w:b w:val="0"/>
          <w:noProof/>
          <w:sz w:val="22"/>
          <w:lang w:eastAsia="en-AU"/>
        </w:rPr>
      </w:pPr>
      <w:hyperlink w:anchor="_Toc37332236" w:history="1">
        <w:r w:rsidR="005D05B8" w:rsidRPr="005B1CAF">
          <w:rPr>
            <w:rStyle w:val="Hyperlink"/>
            <w:noProof/>
          </w:rPr>
          <w:t>Executive summary</w:t>
        </w:r>
        <w:r w:rsidR="005D05B8">
          <w:rPr>
            <w:noProof/>
            <w:webHidden/>
          </w:rPr>
          <w:tab/>
        </w:r>
        <w:r w:rsidR="005D05B8">
          <w:rPr>
            <w:noProof/>
            <w:webHidden/>
          </w:rPr>
          <w:fldChar w:fldCharType="begin"/>
        </w:r>
        <w:r w:rsidR="005D05B8">
          <w:rPr>
            <w:noProof/>
            <w:webHidden/>
          </w:rPr>
          <w:instrText xml:space="preserve"> PAGEREF _Toc37332236 \h </w:instrText>
        </w:r>
        <w:r w:rsidR="005D05B8">
          <w:rPr>
            <w:noProof/>
            <w:webHidden/>
          </w:rPr>
        </w:r>
        <w:r w:rsidR="005D05B8">
          <w:rPr>
            <w:noProof/>
            <w:webHidden/>
          </w:rPr>
          <w:fldChar w:fldCharType="separate"/>
        </w:r>
        <w:r w:rsidR="005D05B8">
          <w:rPr>
            <w:noProof/>
            <w:webHidden/>
          </w:rPr>
          <w:t>2</w:t>
        </w:r>
        <w:r w:rsidR="005D05B8">
          <w:rPr>
            <w:noProof/>
            <w:webHidden/>
          </w:rPr>
          <w:fldChar w:fldCharType="end"/>
        </w:r>
      </w:hyperlink>
    </w:p>
    <w:p w14:paraId="03BEB600" w14:textId="77777777" w:rsidR="005D05B8" w:rsidRDefault="00B33B7D">
      <w:pPr>
        <w:pStyle w:val="TOC1"/>
        <w:rPr>
          <w:rFonts w:asciiTheme="minorHAnsi" w:eastAsiaTheme="minorEastAsia" w:hAnsiTheme="minorHAnsi" w:cstheme="minorBidi"/>
          <w:b w:val="0"/>
          <w:noProof/>
          <w:sz w:val="22"/>
          <w:lang w:eastAsia="en-AU"/>
        </w:rPr>
      </w:pPr>
      <w:hyperlink w:anchor="_Toc37332237" w:history="1">
        <w:r w:rsidR="005D05B8" w:rsidRPr="005B1CAF">
          <w:rPr>
            <w:rStyle w:val="Hyperlink"/>
            <w:noProof/>
          </w:rPr>
          <w:t>Background</w:t>
        </w:r>
        <w:r w:rsidR="005D05B8">
          <w:rPr>
            <w:noProof/>
            <w:webHidden/>
          </w:rPr>
          <w:tab/>
        </w:r>
        <w:r w:rsidR="005D05B8">
          <w:rPr>
            <w:noProof/>
            <w:webHidden/>
          </w:rPr>
          <w:fldChar w:fldCharType="begin"/>
        </w:r>
        <w:r w:rsidR="005D05B8">
          <w:rPr>
            <w:noProof/>
            <w:webHidden/>
          </w:rPr>
          <w:instrText xml:space="preserve"> PAGEREF _Toc37332237 \h </w:instrText>
        </w:r>
        <w:r w:rsidR="005D05B8">
          <w:rPr>
            <w:noProof/>
            <w:webHidden/>
          </w:rPr>
        </w:r>
        <w:r w:rsidR="005D05B8">
          <w:rPr>
            <w:noProof/>
            <w:webHidden/>
          </w:rPr>
          <w:fldChar w:fldCharType="separate"/>
        </w:r>
        <w:r w:rsidR="005D05B8">
          <w:rPr>
            <w:noProof/>
            <w:webHidden/>
          </w:rPr>
          <w:t>4</w:t>
        </w:r>
        <w:r w:rsidR="005D05B8">
          <w:rPr>
            <w:noProof/>
            <w:webHidden/>
          </w:rPr>
          <w:fldChar w:fldCharType="end"/>
        </w:r>
      </w:hyperlink>
    </w:p>
    <w:p w14:paraId="4658E2C9" w14:textId="77777777" w:rsidR="005D05B8" w:rsidRDefault="00B33B7D">
      <w:pPr>
        <w:pStyle w:val="TOC2"/>
        <w:rPr>
          <w:rFonts w:asciiTheme="minorHAnsi" w:eastAsiaTheme="minorEastAsia" w:hAnsiTheme="minorHAnsi" w:cstheme="minorBidi"/>
          <w:noProof/>
          <w:lang w:eastAsia="en-AU"/>
        </w:rPr>
      </w:pPr>
      <w:hyperlink w:anchor="_Toc37332238" w:history="1">
        <w:r w:rsidR="005D05B8" w:rsidRPr="005B1CAF">
          <w:rPr>
            <w:rStyle w:val="Hyperlink"/>
            <w:noProof/>
          </w:rPr>
          <w:t>Legislative basis</w:t>
        </w:r>
        <w:r w:rsidR="005D05B8">
          <w:rPr>
            <w:noProof/>
            <w:webHidden/>
          </w:rPr>
          <w:tab/>
        </w:r>
        <w:r w:rsidR="005D05B8">
          <w:rPr>
            <w:noProof/>
            <w:webHidden/>
          </w:rPr>
          <w:fldChar w:fldCharType="begin"/>
        </w:r>
        <w:r w:rsidR="005D05B8">
          <w:rPr>
            <w:noProof/>
            <w:webHidden/>
          </w:rPr>
          <w:instrText xml:space="preserve"> PAGEREF _Toc37332238 \h </w:instrText>
        </w:r>
        <w:r w:rsidR="005D05B8">
          <w:rPr>
            <w:noProof/>
            <w:webHidden/>
          </w:rPr>
        </w:r>
        <w:r w:rsidR="005D05B8">
          <w:rPr>
            <w:noProof/>
            <w:webHidden/>
          </w:rPr>
          <w:fldChar w:fldCharType="separate"/>
        </w:r>
        <w:r w:rsidR="005D05B8">
          <w:rPr>
            <w:noProof/>
            <w:webHidden/>
          </w:rPr>
          <w:t>4</w:t>
        </w:r>
        <w:r w:rsidR="005D05B8">
          <w:rPr>
            <w:noProof/>
            <w:webHidden/>
          </w:rPr>
          <w:fldChar w:fldCharType="end"/>
        </w:r>
      </w:hyperlink>
    </w:p>
    <w:p w14:paraId="5B01091E" w14:textId="77777777" w:rsidR="005D05B8" w:rsidRDefault="00B33B7D">
      <w:pPr>
        <w:pStyle w:val="TOC2"/>
        <w:rPr>
          <w:rFonts w:asciiTheme="minorHAnsi" w:eastAsiaTheme="minorEastAsia" w:hAnsiTheme="minorHAnsi" w:cstheme="minorBidi"/>
          <w:noProof/>
          <w:lang w:eastAsia="en-AU"/>
        </w:rPr>
      </w:pPr>
      <w:hyperlink w:anchor="_Toc37332239" w:history="1">
        <w:r w:rsidR="005D05B8" w:rsidRPr="005B1CAF">
          <w:rPr>
            <w:rStyle w:val="Hyperlink"/>
            <w:noProof/>
          </w:rPr>
          <w:t>The VEC’s approach</w:t>
        </w:r>
        <w:r w:rsidR="005D05B8">
          <w:rPr>
            <w:noProof/>
            <w:webHidden/>
          </w:rPr>
          <w:tab/>
        </w:r>
        <w:r w:rsidR="005D05B8">
          <w:rPr>
            <w:noProof/>
            <w:webHidden/>
          </w:rPr>
          <w:fldChar w:fldCharType="begin"/>
        </w:r>
        <w:r w:rsidR="005D05B8">
          <w:rPr>
            <w:noProof/>
            <w:webHidden/>
          </w:rPr>
          <w:instrText xml:space="preserve"> PAGEREF _Toc37332239 \h </w:instrText>
        </w:r>
        <w:r w:rsidR="005D05B8">
          <w:rPr>
            <w:noProof/>
            <w:webHidden/>
          </w:rPr>
        </w:r>
        <w:r w:rsidR="005D05B8">
          <w:rPr>
            <w:noProof/>
            <w:webHidden/>
          </w:rPr>
          <w:fldChar w:fldCharType="separate"/>
        </w:r>
        <w:r w:rsidR="005D05B8">
          <w:rPr>
            <w:noProof/>
            <w:webHidden/>
          </w:rPr>
          <w:t>5</w:t>
        </w:r>
        <w:r w:rsidR="005D05B8">
          <w:rPr>
            <w:noProof/>
            <w:webHidden/>
          </w:rPr>
          <w:fldChar w:fldCharType="end"/>
        </w:r>
      </w:hyperlink>
    </w:p>
    <w:p w14:paraId="51C7A468" w14:textId="77777777" w:rsidR="005D05B8" w:rsidRDefault="00B33B7D">
      <w:pPr>
        <w:pStyle w:val="TOC2"/>
        <w:rPr>
          <w:rFonts w:asciiTheme="minorHAnsi" w:eastAsiaTheme="minorEastAsia" w:hAnsiTheme="minorHAnsi" w:cstheme="minorBidi"/>
          <w:noProof/>
          <w:lang w:eastAsia="en-AU"/>
        </w:rPr>
      </w:pPr>
      <w:hyperlink w:anchor="_Toc37332240" w:history="1">
        <w:r w:rsidR="005D05B8" w:rsidRPr="005B1CAF">
          <w:rPr>
            <w:rStyle w:val="Hyperlink"/>
            <w:noProof/>
          </w:rPr>
          <w:t>Profile of Hume City Council</w:t>
        </w:r>
        <w:r w:rsidR="005D05B8">
          <w:rPr>
            <w:noProof/>
            <w:webHidden/>
          </w:rPr>
          <w:tab/>
        </w:r>
        <w:r w:rsidR="005D05B8">
          <w:rPr>
            <w:noProof/>
            <w:webHidden/>
          </w:rPr>
          <w:fldChar w:fldCharType="begin"/>
        </w:r>
        <w:r w:rsidR="005D05B8">
          <w:rPr>
            <w:noProof/>
            <w:webHidden/>
          </w:rPr>
          <w:instrText xml:space="preserve"> PAGEREF _Toc37332240 \h </w:instrText>
        </w:r>
        <w:r w:rsidR="005D05B8">
          <w:rPr>
            <w:noProof/>
            <w:webHidden/>
          </w:rPr>
        </w:r>
        <w:r w:rsidR="005D05B8">
          <w:rPr>
            <w:noProof/>
            <w:webHidden/>
          </w:rPr>
          <w:fldChar w:fldCharType="separate"/>
        </w:r>
        <w:r w:rsidR="005D05B8">
          <w:rPr>
            <w:noProof/>
            <w:webHidden/>
          </w:rPr>
          <w:t>7</w:t>
        </w:r>
        <w:r w:rsidR="005D05B8">
          <w:rPr>
            <w:noProof/>
            <w:webHidden/>
          </w:rPr>
          <w:fldChar w:fldCharType="end"/>
        </w:r>
      </w:hyperlink>
    </w:p>
    <w:p w14:paraId="72FB01D2" w14:textId="77777777" w:rsidR="005D05B8" w:rsidRDefault="00B33B7D">
      <w:pPr>
        <w:pStyle w:val="TOC2"/>
        <w:rPr>
          <w:rFonts w:asciiTheme="minorHAnsi" w:eastAsiaTheme="minorEastAsia" w:hAnsiTheme="minorHAnsi" w:cstheme="minorBidi"/>
          <w:noProof/>
          <w:lang w:eastAsia="en-AU"/>
        </w:rPr>
      </w:pPr>
      <w:hyperlink w:anchor="_Toc37332241" w:history="1">
        <w:r w:rsidR="005D05B8" w:rsidRPr="005B1CAF">
          <w:rPr>
            <w:rStyle w:val="Hyperlink"/>
            <w:noProof/>
          </w:rPr>
          <w:t>Population trends</w:t>
        </w:r>
        <w:r w:rsidR="005D05B8">
          <w:rPr>
            <w:noProof/>
            <w:webHidden/>
          </w:rPr>
          <w:tab/>
        </w:r>
        <w:r w:rsidR="005D05B8">
          <w:rPr>
            <w:noProof/>
            <w:webHidden/>
          </w:rPr>
          <w:fldChar w:fldCharType="begin"/>
        </w:r>
        <w:r w:rsidR="005D05B8">
          <w:rPr>
            <w:noProof/>
            <w:webHidden/>
          </w:rPr>
          <w:instrText xml:space="preserve"> PAGEREF _Toc37332241 \h </w:instrText>
        </w:r>
        <w:r w:rsidR="005D05B8">
          <w:rPr>
            <w:noProof/>
            <w:webHidden/>
          </w:rPr>
        </w:r>
        <w:r w:rsidR="005D05B8">
          <w:rPr>
            <w:noProof/>
            <w:webHidden/>
          </w:rPr>
          <w:fldChar w:fldCharType="separate"/>
        </w:r>
        <w:r w:rsidR="005D05B8">
          <w:rPr>
            <w:noProof/>
            <w:webHidden/>
          </w:rPr>
          <w:t>8</w:t>
        </w:r>
        <w:r w:rsidR="005D05B8">
          <w:rPr>
            <w:noProof/>
            <w:webHidden/>
          </w:rPr>
          <w:fldChar w:fldCharType="end"/>
        </w:r>
      </w:hyperlink>
    </w:p>
    <w:p w14:paraId="2281BF8A" w14:textId="77777777" w:rsidR="005D05B8" w:rsidRDefault="00B33B7D">
      <w:pPr>
        <w:pStyle w:val="TOC2"/>
        <w:rPr>
          <w:rFonts w:asciiTheme="minorHAnsi" w:eastAsiaTheme="minorEastAsia" w:hAnsiTheme="minorHAnsi" w:cstheme="minorBidi"/>
          <w:noProof/>
          <w:lang w:eastAsia="en-AU"/>
        </w:rPr>
      </w:pPr>
      <w:hyperlink w:anchor="_Toc37332242" w:history="1">
        <w:r w:rsidR="005D05B8" w:rsidRPr="005B1CAF">
          <w:rPr>
            <w:rStyle w:val="Hyperlink"/>
            <w:noProof/>
          </w:rPr>
          <w:t>Current number of councillors and electoral structure</w:t>
        </w:r>
        <w:r w:rsidR="005D05B8">
          <w:rPr>
            <w:noProof/>
            <w:webHidden/>
          </w:rPr>
          <w:tab/>
        </w:r>
        <w:r w:rsidR="005D05B8">
          <w:rPr>
            <w:noProof/>
            <w:webHidden/>
          </w:rPr>
          <w:fldChar w:fldCharType="begin"/>
        </w:r>
        <w:r w:rsidR="005D05B8">
          <w:rPr>
            <w:noProof/>
            <w:webHidden/>
          </w:rPr>
          <w:instrText xml:space="preserve"> PAGEREF _Toc37332242 \h </w:instrText>
        </w:r>
        <w:r w:rsidR="005D05B8">
          <w:rPr>
            <w:noProof/>
            <w:webHidden/>
          </w:rPr>
        </w:r>
        <w:r w:rsidR="005D05B8">
          <w:rPr>
            <w:noProof/>
            <w:webHidden/>
          </w:rPr>
          <w:fldChar w:fldCharType="separate"/>
        </w:r>
        <w:r w:rsidR="005D05B8">
          <w:rPr>
            <w:noProof/>
            <w:webHidden/>
          </w:rPr>
          <w:t>9</w:t>
        </w:r>
        <w:r w:rsidR="005D05B8">
          <w:rPr>
            <w:noProof/>
            <w:webHidden/>
          </w:rPr>
          <w:fldChar w:fldCharType="end"/>
        </w:r>
      </w:hyperlink>
    </w:p>
    <w:p w14:paraId="669DDA7C" w14:textId="77777777" w:rsidR="005D05B8" w:rsidRDefault="00B33B7D">
      <w:pPr>
        <w:pStyle w:val="TOC1"/>
        <w:rPr>
          <w:rFonts w:asciiTheme="minorHAnsi" w:eastAsiaTheme="minorEastAsia" w:hAnsiTheme="minorHAnsi" w:cstheme="minorBidi"/>
          <w:b w:val="0"/>
          <w:noProof/>
          <w:sz w:val="22"/>
          <w:lang w:eastAsia="en-AU"/>
        </w:rPr>
      </w:pPr>
      <w:hyperlink w:anchor="_Toc37332243" w:history="1">
        <w:r w:rsidR="005D05B8" w:rsidRPr="005B1CAF">
          <w:rPr>
            <w:rStyle w:val="Hyperlink"/>
            <w:noProof/>
          </w:rPr>
          <w:t>Current subdivision review</w:t>
        </w:r>
        <w:r w:rsidR="005D05B8">
          <w:rPr>
            <w:noProof/>
            <w:webHidden/>
          </w:rPr>
          <w:tab/>
        </w:r>
        <w:r w:rsidR="005D05B8">
          <w:rPr>
            <w:noProof/>
            <w:webHidden/>
          </w:rPr>
          <w:fldChar w:fldCharType="begin"/>
        </w:r>
        <w:r w:rsidR="005D05B8">
          <w:rPr>
            <w:noProof/>
            <w:webHidden/>
          </w:rPr>
          <w:instrText xml:space="preserve"> PAGEREF _Toc37332243 \h </w:instrText>
        </w:r>
        <w:r w:rsidR="005D05B8">
          <w:rPr>
            <w:noProof/>
            <w:webHidden/>
          </w:rPr>
        </w:r>
        <w:r w:rsidR="005D05B8">
          <w:rPr>
            <w:noProof/>
            <w:webHidden/>
          </w:rPr>
          <w:fldChar w:fldCharType="separate"/>
        </w:r>
        <w:r w:rsidR="005D05B8">
          <w:rPr>
            <w:noProof/>
            <w:webHidden/>
          </w:rPr>
          <w:t>10</w:t>
        </w:r>
        <w:r w:rsidR="005D05B8">
          <w:rPr>
            <w:noProof/>
            <w:webHidden/>
          </w:rPr>
          <w:fldChar w:fldCharType="end"/>
        </w:r>
      </w:hyperlink>
    </w:p>
    <w:p w14:paraId="50D3C094" w14:textId="77777777" w:rsidR="005D05B8" w:rsidRDefault="00B33B7D">
      <w:pPr>
        <w:pStyle w:val="TOC2"/>
        <w:rPr>
          <w:rFonts w:asciiTheme="minorHAnsi" w:eastAsiaTheme="minorEastAsia" w:hAnsiTheme="minorHAnsi" w:cstheme="minorBidi"/>
          <w:noProof/>
          <w:lang w:eastAsia="en-AU"/>
        </w:rPr>
      </w:pPr>
      <w:hyperlink w:anchor="_Toc37332244" w:history="1">
        <w:r w:rsidR="005D05B8" w:rsidRPr="005B1CAF">
          <w:rPr>
            <w:rStyle w:val="Hyperlink"/>
            <w:noProof/>
          </w:rPr>
          <w:t>Preliminary report</w:t>
        </w:r>
        <w:r w:rsidR="005D05B8">
          <w:rPr>
            <w:noProof/>
            <w:webHidden/>
          </w:rPr>
          <w:tab/>
        </w:r>
        <w:r w:rsidR="005D05B8">
          <w:rPr>
            <w:noProof/>
            <w:webHidden/>
          </w:rPr>
          <w:fldChar w:fldCharType="begin"/>
        </w:r>
        <w:r w:rsidR="005D05B8">
          <w:rPr>
            <w:noProof/>
            <w:webHidden/>
          </w:rPr>
          <w:instrText xml:space="preserve"> PAGEREF _Toc37332244 \h </w:instrText>
        </w:r>
        <w:r w:rsidR="005D05B8">
          <w:rPr>
            <w:noProof/>
            <w:webHidden/>
          </w:rPr>
        </w:r>
        <w:r w:rsidR="005D05B8">
          <w:rPr>
            <w:noProof/>
            <w:webHidden/>
          </w:rPr>
          <w:fldChar w:fldCharType="separate"/>
        </w:r>
        <w:r w:rsidR="005D05B8">
          <w:rPr>
            <w:noProof/>
            <w:webHidden/>
          </w:rPr>
          <w:t>11</w:t>
        </w:r>
        <w:r w:rsidR="005D05B8">
          <w:rPr>
            <w:noProof/>
            <w:webHidden/>
          </w:rPr>
          <w:fldChar w:fldCharType="end"/>
        </w:r>
      </w:hyperlink>
    </w:p>
    <w:p w14:paraId="668FDF6E" w14:textId="77777777" w:rsidR="005D05B8" w:rsidRDefault="00B33B7D">
      <w:pPr>
        <w:pStyle w:val="TOC1"/>
        <w:rPr>
          <w:rFonts w:asciiTheme="minorHAnsi" w:eastAsiaTheme="minorEastAsia" w:hAnsiTheme="minorHAnsi" w:cstheme="minorBidi"/>
          <w:b w:val="0"/>
          <w:noProof/>
          <w:sz w:val="22"/>
          <w:lang w:eastAsia="en-AU"/>
        </w:rPr>
      </w:pPr>
      <w:hyperlink w:anchor="_Toc37332245" w:history="1">
        <w:r w:rsidR="005D05B8" w:rsidRPr="005B1CAF">
          <w:rPr>
            <w:rStyle w:val="Hyperlink"/>
            <w:noProof/>
          </w:rPr>
          <w:t>Public response</w:t>
        </w:r>
        <w:r w:rsidR="005D05B8">
          <w:rPr>
            <w:noProof/>
            <w:webHidden/>
          </w:rPr>
          <w:tab/>
        </w:r>
        <w:r w:rsidR="005D05B8">
          <w:rPr>
            <w:noProof/>
            <w:webHidden/>
          </w:rPr>
          <w:fldChar w:fldCharType="begin"/>
        </w:r>
        <w:r w:rsidR="005D05B8">
          <w:rPr>
            <w:noProof/>
            <w:webHidden/>
          </w:rPr>
          <w:instrText xml:space="preserve"> PAGEREF _Toc37332245 \h </w:instrText>
        </w:r>
        <w:r w:rsidR="005D05B8">
          <w:rPr>
            <w:noProof/>
            <w:webHidden/>
          </w:rPr>
        </w:r>
        <w:r w:rsidR="005D05B8">
          <w:rPr>
            <w:noProof/>
            <w:webHidden/>
          </w:rPr>
          <w:fldChar w:fldCharType="separate"/>
        </w:r>
        <w:r w:rsidR="005D05B8">
          <w:rPr>
            <w:noProof/>
            <w:webHidden/>
          </w:rPr>
          <w:t>13</w:t>
        </w:r>
        <w:r w:rsidR="005D05B8">
          <w:rPr>
            <w:noProof/>
            <w:webHidden/>
          </w:rPr>
          <w:fldChar w:fldCharType="end"/>
        </w:r>
      </w:hyperlink>
    </w:p>
    <w:p w14:paraId="387B6DDB" w14:textId="77777777" w:rsidR="005D05B8" w:rsidRDefault="00B33B7D">
      <w:pPr>
        <w:pStyle w:val="TOC2"/>
        <w:rPr>
          <w:rFonts w:asciiTheme="minorHAnsi" w:eastAsiaTheme="minorEastAsia" w:hAnsiTheme="minorHAnsi" w:cstheme="minorBidi"/>
          <w:noProof/>
          <w:lang w:eastAsia="en-AU"/>
        </w:rPr>
      </w:pPr>
      <w:hyperlink w:anchor="_Toc37332246" w:history="1">
        <w:r w:rsidR="005D05B8" w:rsidRPr="005B1CAF">
          <w:rPr>
            <w:rStyle w:val="Hyperlink"/>
            <w:noProof/>
          </w:rPr>
          <w:t>Response submissions</w:t>
        </w:r>
        <w:r w:rsidR="005D05B8">
          <w:rPr>
            <w:noProof/>
            <w:webHidden/>
          </w:rPr>
          <w:tab/>
        </w:r>
        <w:r w:rsidR="005D05B8">
          <w:rPr>
            <w:noProof/>
            <w:webHidden/>
          </w:rPr>
          <w:fldChar w:fldCharType="begin"/>
        </w:r>
        <w:r w:rsidR="005D05B8">
          <w:rPr>
            <w:noProof/>
            <w:webHidden/>
          </w:rPr>
          <w:instrText xml:space="preserve"> PAGEREF _Toc37332246 \h </w:instrText>
        </w:r>
        <w:r w:rsidR="005D05B8">
          <w:rPr>
            <w:noProof/>
            <w:webHidden/>
          </w:rPr>
        </w:r>
        <w:r w:rsidR="005D05B8">
          <w:rPr>
            <w:noProof/>
            <w:webHidden/>
          </w:rPr>
          <w:fldChar w:fldCharType="separate"/>
        </w:r>
        <w:r w:rsidR="005D05B8">
          <w:rPr>
            <w:noProof/>
            <w:webHidden/>
          </w:rPr>
          <w:t>13</w:t>
        </w:r>
        <w:r w:rsidR="005D05B8">
          <w:rPr>
            <w:noProof/>
            <w:webHidden/>
          </w:rPr>
          <w:fldChar w:fldCharType="end"/>
        </w:r>
      </w:hyperlink>
    </w:p>
    <w:p w14:paraId="72323DCD" w14:textId="77777777" w:rsidR="005D05B8" w:rsidRDefault="00B33B7D">
      <w:pPr>
        <w:pStyle w:val="TOC2"/>
        <w:rPr>
          <w:rFonts w:asciiTheme="minorHAnsi" w:eastAsiaTheme="minorEastAsia" w:hAnsiTheme="minorHAnsi" w:cstheme="minorBidi"/>
          <w:noProof/>
          <w:lang w:eastAsia="en-AU"/>
        </w:rPr>
      </w:pPr>
      <w:hyperlink w:anchor="_Toc37332247" w:history="1">
        <w:r w:rsidR="005D05B8" w:rsidRPr="005B1CAF">
          <w:rPr>
            <w:rStyle w:val="Hyperlink"/>
            <w:noProof/>
          </w:rPr>
          <w:t>Public hearing</w:t>
        </w:r>
        <w:r w:rsidR="005D05B8">
          <w:rPr>
            <w:noProof/>
            <w:webHidden/>
          </w:rPr>
          <w:tab/>
        </w:r>
        <w:r w:rsidR="005D05B8">
          <w:rPr>
            <w:noProof/>
            <w:webHidden/>
          </w:rPr>
          <w:fldChar w:fldCharType="begin"/>
        </w:r>
        <w:r w:rsidR="005D05B8">
          <w:rPr>
            <w:noProof/>
            <w:webHidden/>
          </w:rPr>
          <w:instrText xml:space="preserve"> PAGEREF _Toc37332247 \h </w:instrText>
        </w:r>
        <w:r w:rsidR="005D05B8">
          <w:rPr>
            <w:noProof/>
            <w:webHidden/>
          </w:rPr>
        </w:r>
        <w:r w:rsidR="005D05B8">
          <w:rPr>
            <w:noProof/>
            <w:webHidden/>
          </w:rPr>
          <w:fldChar w:fldCharType="separate"/>
        </w:r>
        <w:r w:rsidR="005D05B8">
          <w:rPr>
            <w:noProof/>
            <w:webHidden/>
          </w:rPr>
          <w:t>16</w:t>
        </w:r>
        <w:r w:rsidR="005D05B8">
          <w:rPr>
            <w:noProof/>
            <w:webHidden/>
          </w:rPr>
          <w:fldChar w:fldCharType="end"/>
        </w:r>
      </w:hyperlink>
    </w:p>
    <w:p w14:paraId="0C79DA1C" w14:textId="77777777" w:rsidR="005D05B8" w:rsidRDefault="00B33B7D">
      <w:pPr>
        <w:pStyle w:val="TOC1"/>
        <w:rPr>
          <w:rFonts w:asciiTheme="minorHAnsi" w:eastAsiaTheme="minorEastAsia" w:hAnsiTheme="minorHAnsi" w:cstheme="minorBidi"/>
          <w:b w:val="0"/>
          <w:noProof/>
          <w:sz w:val="22"/>
          <w:lang w:eastAsia="en-AU"/>
        </w:rPr>
      </w:pPr>
      <w:hyperlink w:anchor="_Toc37332248" w:history="1">
        <w:r w:rsidR="005D05B8" w:rsidRPr="005B1CAF">
          <w:rPr>
            <w:rStyle w:val="Hyperlink"/>
            <w:noProof/>
          </w:rPr>
          <w:t>Findings and recommendation</w:t>
        </w:r>
        <w:r w:rsidR="005D05B8">
          <w:rPr>
            <w:noProof/>
            <w:webHidden/>
          </w:rPr>
          <w:tab/>
        </w:r>
        <w:r w:rsidR="005D05B8">
          <w:rPr>
            <w:noProof/>
            <w:webHidden/>
          </w:rPr>
          <w:fldChar w:fldCharType="begin"/>
        </w:r>
        <w:r w:rsidR="005D05B8">
          <w:rPr>
            <w:noProof/>
            <w:webHidden/>
          </w:rPr>
          <w:instrText xml:space="preserve"> PAGEREF _Toc37332248 \h </w:instrText>
        </w:r>
        <w:r w:rsidR="005D05B8">
          <w:rPr>
            <w:noProof/>
            <w:webHidden/>
          </w:rPr>
        </w:r>
        <w:r w:rsidR="005D05B8">
          <w:rPr>
            <w:noProof/>
            <w:webHidden/>
          </w:rPr>
          <w:fldChar w:fldCharType="separate"/>
        </w:r>
        <w:r w:rsidR="005D05B8">
          <w:rPr>
            <w:noProof/>
            <w:webHidden/>
          </w:rPr>
          <w:t>19</w:t>
        </w:r>
        <w:r w:rsidR="005D05B8">
          <w:rPr>
            <w:noProof/>
            <w:webHidden/>
          </w:rPr>
          <w:fldChar w:fldCharType="end"/>
        </w:r>
      </w:hyperlink>
    </w:p>
    <w:p w14:paraId="39B128BB" w14:textId="77777777" w:rsidR="005D05B8" w:rsidRDefault="00B33B7D">
      <w:pPr>
        <w:pStyle w:val="TOC2"/>
        <w:rPr>
          <w:rFonts w:asciiTheme="minorHAnsi" w:eastAsiaTheme="minorEastAsia" w:hAnsiTheme="minorHAnsi" w:cstheme="minorBidi"/>
          <w:noProof/>
          <w:lang w:eastAsia="en-AU"/>
        </w:rPr>
      </w:pPr>
      <w:hyperlink w:anchor="_Toc37332249" w:history="1">
        <w:r w:rsidR="005D05B8" w:rsidRPr="005B1CAF">
          <w:rPr>
            <w:rStyle w:val="Hyperlink"/>
            <w:noProof/>
          </w:rPr>
          <w:t>The VEC’s findings</w:t>
        </w:r>
        <w:r w:rsidR="005D05B8">
          <w:rPr>
            <w:noProof/>
            <w:webHidden/>
          </w:rPr>
          <w:tab/>
        </w:r>
        <w:r w:rsidR="005D05B8">
          <w:rPr>
            <w:noProof/>
            <w:webHidden/>
          </w:rPr>
          <w:fldChar w:fldCharType="begin"/>
        </w:r>
        <w:r w:rsidR="005D05B8">
          <w:rPr>
            <w:noProof/>
            <w:webHidden/>
          </w:rPr>
          <w:instrText xml:space="preserve"> PAGEREF _Toc37332249 \h </w:instrText>
        </w:r>
        <w:r w:rsidR="005D05B8">
          <w:rPr>
            <w:noProof/>
            <w:webHidden/>
          </w:rPr>
        </w:r>
        <w:r w:rsidR="005D05B8">
          <w:rPr>
            <w:noProof/>
            <w:webHidden/>
          </w:rPr>
          <w:fldChar w:fldCharType="separate"/>
        </w:r>
        <w:r w:rsidR="005D05B8">
          <w:rPr>
            <w:noProof/>
            <w:webHidden/>
          </w:rPr>
          <w:t>19</w:t>
        </w:r>
        <w:r w:rsidR="005D05B8">
          <w:rPr>
            <w:noProof/>
            <w:webHidden/>
          </w:rPr>
          <w:fldChar w:fldCharType="end"/>
        </w:r>
      </w:hyperlink>
    </w:p>
    <w:p w14:paraId="5C746F7D" w14:textId="77777777" w:rsidR="005D05B8" w:rsidRDefault="00B33B7D">
      <w:pPr>
        <w:pStyle w:val="TOC2"/>
        <w:rPr>
          <w:rFonts w:asciiTheme="minorHAnsi" w:eastAsiaTheme="minorEastAsia" w:hAnsiTheme="minorHAnsi" w:cstheme="minorBidi"/>
          <w:noProof/>
          <w:lang w:eastAsia="en-AU"/>
        </w:rPr>
      </w:pPr>
      <w:hyperlink w:anchor="_Toc37332250" w:history="1">
        <w:r w:rsidR="005D05B8" w:rsidRPr="005B1CAF">
          <w:rPr>
            <w:rStyle w:val="Hyperlink"/>
            <w:noProof/>
          </w:rPr>
          <w:t>The VEC’s recommendation</w:t>
        </w:r>
        <w:r w:rsidR="005D05B8">
          <w:rPr>
            <w:noProof/>
            <w:webHidden/>
          </w:rPr>
          <w:tab/>
        </w:r>
        <w:r w:rsidR="005D05B8">
          <w:rPr>
            <w:noProof/>
            <w:webHidden/>
          </w:rPr>
          <w:fldChar w:fldCharType="begin"/>
        </w:r>
        <w:r w:rsidR="005D05B8">
          <w:rPr>
            <w:noProof/>
            <w:webHidden/>
          </w:rPr>
          <w:instrText xml:space="preserve"> PAGEREF _Toc37332250 \h </w:instrText>
        </w:r>
        <w:r w:rsidR="005D05B8">
          <w:rPr>
            <w:noProof/>
            <w:webHidden/>
          </w:rPr>
        </w:r>
        <w:r w:rsidR="005D05B8">
          <w:rPr>
            <w:noProof/>
            <w:webHidden/>
          </w:rPr>
          <w:fldChar w:fldCharType="separate"/>
        </w:r>
        <w:r w:rsidR="005D05B8">
          <w:rPr>
            <w:noProof/>
            <w:webHidden/>
          </w:rPr>
          <w:t>24</w:t>
        </w:r>
        <w:r w:rsidR="005D05B8">
          <w:rPr>
            <w:noProof/>
            <w:webHidden/>
          </w:rPr>
          <w:fldChar w:fldCharType="end"/>
        </w:r>
      </w:hyperlink>
    </w:p>
    <w:p w14:paraId="79E5FB47" w14:textId="77777777" w:rsidR="005D05B8" w:rsidRDefault="00B33B7D">
      <w:pPr>
        <w:pStyle w:val="TOC1"/>
        <w:rPr>
          <w:rFonts w:asciiTheme="minorHAnsi" w:eastAsiaTheme="minorEastAsia" w:hAnsiTheme="minorHAnsi" w:cstheme="minorBidi"/>
          <w:b w:val="0"/>
          <w:noProof/>
          <w:sz w:val="22"/>
          <w:lang w:eastAsia="en-AU"/>
        </w:rPr>
      </w:pPr>
      <w:hyperlink w:anchor="_Toc37332251" w:history="1">
        <w:r w:rsidR="005D05B8" w:rsidRPr="005B1CAF">
          <w:rPr>
            <w:rStyle w:val="Hyperlink"/>
            <w:noProof/>
          </w:rPr>
          <w:t>Appendix 1: Public involvement</w:t>
        </w:r>
        <w:r w:rsidR="005D05B8">
          <w:rPr>
            <w:noProof/>
            <w:webHidden/>
          </w:rPr>
          <w:tab/>
        </w:r>
        <w:r w:rsidR="005D05B8">
          <w:rPr>
            <w:noProof/>
            <w:webHidden/>
          </w:rPr>
          <w:fldChar w:fldCharType="begin"/>
        </w:r>
        <w:r w:rsidR="005D05B8">
          <w:rPr>
            <w:noProof/>
            <w:webHidden/>
          </w:rPr>
          <w:instrText xml:space="preserve"> PAGEREF _Toc37332251 \h </w:instrText>
        </w:r>
        <w:r w:rsidR="005D05B8">
          <w:rPr>
            <w:noProof/>
            <w:webHidden/>
          </w:rPr>
        </w:r>
        <w:r w:rsidR="005D05B8">
          <w:rPr>
            <w:noProof/>
            <w:webHidden/>
          </w:rPr>
          <w:fldChar w:fldCharType="separate"/>
        </w:r>
        <w:r w:rsidR="005D05B8">
          <w:rPr>
            <w:noProof/>
            <w:webHidden/>
          </w:rPr>
          <w:t>25</w:t>
        </w:r>
        <w:r w:rsidR="005D05B8">
          <w:rPr>
            <w:noProof/>
            <w:webHidden/>
          </w:rPr>
          <w:fldChar w:fldCharType="end"/>
        </w:r>
      </w:hyperlink>
    </w:p>
    <w:p w14:paraId="06E5D014" w14:textId="77777777" w:rsidR="005D05B8" w:rsidRDefault="00B33B7D">
      <w:pPr>
        <w:pStyle w:val="TOC1"/>
        <w:rPr>
          <w:rFonts w:asciiTheme="minorHAnsi" w:eastAsiaTheme="minorEastAsia" w:hAnsiTheme="minorHAnsi" w:cstheme="minorBidi"/>
          <w:b w:val="0"/>
          <w:noProof/>
          <w:sz w:val="22"/>
          <w:lang w:eastAsia="en-AU"/>
        </w:rPr>
      </w:pPr>
      <w:hyperlink w:anchor="_Toc37332252" w:history="1">
        <w:r w:rsidR="005D05B8" w:rsidRPr="005B1CAF">
          <w:rPr>
            <w:rStyle w:val="Hyperlink"/>
            <w:noProof/>
          </w:rPr>
          <w:t>Appendix 2: Recommended ward boundaries map</w:t>
        </w:r>
        <w:r w:rsidR="005D05B8">
          <w:rPr>
            <w:noProof/>
            <w:webHidden/>
          </w:rPr>
          <w:tab/>
        </w:r>
        <w:r w:rsidR="005D05B8">
          <w:rPr>
            <w:noProof/>
            <w:webHidden/>
          </w:rPr>
          <w:fldChar w:fldCharType="begin"/>
        </w:r>
        <w:r w:rsidR="005D05B8">
          <w:rPr>
            <w:noProof/>
            <w:webHidden/>
          </w:rPr>
          <w:instrText xml:space="preserve"> PAGEREF _Toc37332252 \h </w:instrText>
        </w:r>
        <w:r w:rsidR="005D05B8">
          <w:rPr>
            <w:noProof/>
            <w:webHidden/>
          </w:rPr>
        </w:r>
        <w:r w:rsidR="005D05B8">
          <w:rPr>
            <w:noProof/>
            <w:webHidden/>
          </w:rPr>
          <w:fldChar w:fldCharType="separate"/>
        </w:r>
        <w:r w:rsidR="005D05B8">
          <w:rPr>
            <w:noProof/>
            <w:webHidden/>
          </w:rPr>
          <w:t>26</w:t>
        </w:r>
        <w:r w:rsidR="005D05B8">
          <w:rPr>
            <w:noProof/>
            <w:webHidden/>
          </w:rPr>
          <w:fldChar w:fldCharType="end"/>
        </w:r>
      </w:hyperlink>
    </w:p>
    <w:p w14:paraId="396C375A" w14:textId="77777777" w:rsidR="005D05B8" w:rsidRDefault="00B33B7D">
      <w:pPr>
        <w:pStyle w:val="TOC1"/>
        <w:rPr>
          <w:rFonts w:asciiTheme="minorHAnsi" w:eastAsiaTheme="minorEastAsia" w:hAnsiTheme="minorHAnsi" w:cstheme="minorBidi"/>
          <w:b w:val="0"/>
          <w:noProof/>
          <w:sz w:val="22"/>
          <w:lang w:eastAsia="en-AU"/>
        </w:rPr>
      </w:pPr>
      <w:hyperlink w:anchor="_Toc37332253" w:history="1">
        <w:r w:rsidR="005D05B8" w:rsidRPr="005B1CAF">
          <w:rPr>
            <w:rStyle w:val="Hyperlink"/>
            <w:noProof/>
          </w:rPr>
          <w:t>Appendix 3: Public information program</w:t>
        </w:r>
        <w:r w:rsidR="005D05B8">
          <w:rPr>
            <w:noProof/>
            <w:webHidden/>
          </w:rPr>
          <w:tab/>
        </w:r>
        <w:r w:rsidR="005D05B8">
          <w:rPr>
            <w:noProof/>
            <w:webHidden/>
          </w:rPr>
          <w:fldChar w:fldCharType="begin"/>
        </w:r>
        <w:r w:rsidR="005D05B8">
          <w:rPr>
            <w:noProof/>
            <w:webHidden/>
          </w:rPr>
          <w:instrText xml:space="preserve"> PAGEREF _Toc37332253 \h </w:instrText>
        </w:r>
        <w:r w:rsidR="005D05B8">
          <w:rPr>
            <w:noProof/>
            <w:webHidden/>
          </w:rPr>
        </w:r>
        <w:r w:rsidR="005D05B8">
          <w:rPr>
            <w:noProof/>
            <w:webHidden/>
          </w:rPr>
          <w:fldChar w:fldCharType="separate"/>
        </w:r>
        <w:r w:rsidR="005D05B8">
          <w:rPr>
            <w:noProof/>
            <w:webHidden/>
          </w:rPr>
          <w:t>28</w:t>
        </w:r>
        <w:r w:rsidR="005D05B8">
          <w:rPr>
            <w:noProof/>
            <w:webHidden/>
          </w:rPr>
          <w:fldChar w:fldCharType="end"/>
        </w:r>
      </w:hyperlink>
    </w:p>
    <w:p w14:paraId="0794585B" w14:textId="77777777" w:rsidR="007E7FE1" w:rsidRDefault="001002D4">
      <w:pPr>
        <w:pStyle w:val="TOC1"/>
        <w:rPr>
          <w:rFonts w:asciiTheme="minorHAnsi" w:eastAsiaTheme="minorEastAsia" w:hAnsiTheme="minorHAnsi" w:cstheme="minorBidi"/>
          <w:b w:val="0"/>
          <w:noProof/>
          <w:sz w:val="22"/>
          <w:lang w:eastAsia="en-AU"/>
        </w:rPr>
      </w:pPr>
      <w:r>
        <w:rPr>
          <w:rFonts w:asciiTheme="minorHAnsi" w:eastAsiaTheme="minorEastAsia" w:hAnsiTheme="minorHAnsi" w:cstheme="minorBidi"/>
          <w:b w:val="0"/>
          <w:noProof/>
          <w:sz w:val="22"/>
          <w:lang w:eastAsia="en-AU"/>
        </w:rPr>
        <w:fldChar w:fldCharType="end"/>
      </w:r>
    </w:p>
    <w:p w14:paraId="610E5AAC" w14:textId="77777777" w:rsidR="007E7FE1" w:rsidRPr="00AC5FFA" w:rsidRDefault="007E7FE1" w:rsidP="007766A1">
      <w:pPr>
        <w:pStyle w:val="BodyText"/>
        <w:sectPr w:rsidR="007E7FE1" w:rsidRPr="00AC5FFA" w:rsidSect="00581248">
          <w:footerReference w:type="even" r:id="rId15"/>
          <w:pgSz w:w="11906" w:h="16838" w:code="9"/>
          <w:pgMar w:top="1440" w:right="1021" w:bottom="1134" w:left="1440" w:header="709" w:footer="709" w:gutter="0"/>
          <w:pgNumType w:start="1"/>
          <w:cols w:space="708"/>
          <w:titlePg/>
          <w:docGrid w:linePitch="360"/>
        </w:sectPr>
      </w:pPr>
    </w:p>
    <w:p w14:paraId="7EB95A7D" w14:textId="77777777" w:rsidR="007E7FE1" w:rsidRPr="00AC5FFA" w:rsidRDefault="007E7FE1" w:rsidP="009E6D4C">
      <w:pPr>
        <w:pStyle w:val="Heading1numbered"/>
        <w:keepNext w:val="0"/>
        <w:keepLines w:val="0"/>
        <w:widowControl w:val="0"/>
      </w:pPr>
      <w:bookmarkStart w:id="1" w:name="_Toc37332235"/>
      <w:r w:rsidRPr="00AC5FFA">
        <w:lastRenderedPageBreak/>
        <w:t>Recommendation</w:t>
      </w:r>
      <w:bookmarkEnd w:id="1"/>
    </w:p>
    <w:p w14:paraId="27D15DBB" w14:textId="77777777" w:rsidR="007E7FE1" w:rsidRPr="00AC5FFA" w:rsidRDefault="007E7FE1" w:rsidP="00AC5FFA">
      <w:pPr>
        <w:pStyle w:val="BodyText"/>
      </w:pPr>
      <w:r w:rsidRPr="00AC5FFA">
        <w:t xml:space="preserve">The Victorian Electoral Commission recommends </w:t>
      </w:r>
      <w:r w:rsidRPr="00A145D2">
        <w:t xml:space="preserve">adjustments to the boundaries </w:t>
      </w:r>
      <w:r w:rsidR="00A145D2" w:rsidRPr="00A145D2">
        <w:t>of all wards</w:t>
      </w:r>
      <w:r w:rsidRPr="00A145D2">
        <w:t xml:space="preserve"> within </w:t>
      </w:r>
      <w:r w:rsidRPr="00A145D2">
        <w:rPr>
          <w:noProof/>
        </w:rPr>
        <w:t>Hume City Council</w:t>
      </w:r>
      <w:r w:rsidRPr="00A145D2">
        <w:t>:</w:t>
      </w:r>
    </w:p>
    <w:p w14:paraId="26058D33" w14:textId="77777777" w:rsidR="007E7FE1" w:rsidRPr="00AC5FFA" w:rsidRDefault="00A145D2" w:rsidP="008757E5">
      <w:pPr>
        <w:pStyle w:val="BodyText"/>
        <w:numPr>
          <w:ilvl w:val="0"/>
          <w:numId w:val="6"/>
        </w:numPr>
      </w:pPr>
      <w:r>
        <w:t>Aitken Ward</w:t>
      </w:r>
    </w:p>
    <w:p w14:paraId="3E06B532" w14:textId="77777777" w:rsidR="007E7FE1" w:rsidRDefault="00A145D2" w:rsidP="008757E5">
      <w:pPr>
        <w:pStyle w:val="BodyText"/>
        <w:numPr>
          <w:ilvl w:val="0"/>
          <w:numId w:val="6"/>
        </w:numPr>
      </w:pPr>
      <w:r>
        <w:t>Jacksons Creek Ward</w:t>
      </w:r>
    </w:p>
    <w:p w14:paraId="22620693" w14:textId="77777777" w:rsidR="00A145D2" w:rsidRPr="00AC5FFA" w:rsidRDefault="00A145D2" w:rsidP="008757E5">
      <w:pPr>
        <w:pStyle w:val="BodyText"/>
        <w:numPr>
          <w:ilvl w:val="0"/>
          <w:numId w:val="6"/>
        </w:numPr>
      </w:pPr>
      <w:r>
        <w:t>Meadow Valley Ward</w:t>
      </w:r>
    </w:p>
    <w:p w14:paraId="25A2ECDA" w14:textId="77777777" w:rsidR="007E7FE1" w:rsidRPr="00AC5FFA" w:rsidRDefault="007E7FE1" w:rsidP="00AC5FFA">
      <w:pPr>
        <w:pStyle w:val="BodyText"/>
      </w:pPr>
      <w:r w:rsidRPr="00AC5FFA">
        <w:t xml:space="preserve">This recommendation is submitted to the Minister for Local Government as required by the </w:t>
      </w:r>
      <w:r w:rsidRPr="00AC5FFA">
        <w:rPr>
          <w:i/>
        </w:rPr>
        <w:t>Local Government Act 1989</w:t>
      </w:r>
      <w:r w:rsidRPr="00AC5FFA">
        <w:t>.</w:t>
      </w:r>
    </w:p>
    <w:p w14:paraId="76652A8E" w14:textId="77777777" w:rsidR="007E7FE1" w:rsidRPr="00AC5FFA" w:rsidRDefault="007E7FE1" w:rsidP="00311FAE">
      <w:pPr>
        <w:pStyle w:val="BodyText"/>
      </w:pPr>
      <w:r w:rsidRPr="00AC5FFA">
        <w:t xml:space="preserve">Please see Appendix 2 for a </w:t>
      </w:r>
      <w:r w:rsidRPr="00EC0B09">
        <w:t>detailed</w:t>
      </w:r>
      <w:r w:rsidRPr="00AC5FFA">
        <w:t xml:space="preserve"> map of the recommended ward boundaries.</w:t>
      </w:r>
    </w:p>
    <w:p w14:paraId="221E6EBE" w14:textId="77777777" w:rsidR="007E7FE1" w:rsidRPr="00AC5FFA" w:rsidRDefault="007E7FE1" w:rsidP="00311FAE">
      <w:pPr>
        <w:pStyle w:val="BodyText"/>
      </w:pPr>
    </w:p>
    <w:p w14:paraId="048B2AE5" w14:textId="77777777" w:rsidR="007E7FE1" w:rsidRPr="00AC5FFA" w:rsidRDefault="007E7FE1" w:rsidP="00675FC6">
      <w:pPr>
        <w:pStyle w:val="BodyText"/>
      </w:pPr>
    </w:p>
    <w:p w14:paraId="69F94BAF" w14:textId="77777777" w:rsidR="007E7FE1" w:rsidRPr="00AC5FFA" w:rsidRDefault="007E7FE1" w:rsidP="00675FC6">
      <w:pPr>
        <w:pStyle w:val="BodyText"/>
      </w:pPr>
    </w:p>
    <w:p w14:paraId="1BD97721" w14:textId="77777777" w:rsidR="007E7FE1" w:rsidRPr="00AC5FFA" w:rsidRDefault="007E7FE1" w:rsidP="004A72FE">
      <w:pPr>
        <w:pStyle w:val="Heading1numbered"/>
        <w:keepNext w:val="0"/>
        <w:keepLines w:val="0"/>
        <w:widowControl w:val="0"/>
      </w:pPr>
      <w:r w:rsidRPr="00AC5FFA">
        <w:br w:type="page"/>
      </w:r>
      <w:bookmarkStart w:id="2" w:name="_Toc37332236"/>
      <w:r w:rsidRPr="00AC5FFA">
        <w:lastRenderedPageBreak/>
        <w:t>Executive summary</w:t>
      </w:r>
      <w:bookmarkEnd w:id="2"/>
    </w:p>
    <w:p w14:paraId="00BBFED0" w14:textId="77777777" w:rsidR="007E7FE1" w:rsidRPr="00AC5FFA" w:rsidRDefault="007E7FE1" w:rsidP="00AC5FFA">
      <w:pPr>
        <w:pStyle w:val="BodyText"/>
      </w:pPr>
      <w:r w:rsidRPr="00AC5FFA">
        <w:t xml:space="preserve">The </w:t>
      </w:r>
      <w:r w:rsidRPr="00AC5FFA">
        <w:rPr>
          <w:i/>
        </w:rPr>
        <w:t>Local Government Act 1989</w:t>
      </w:r>
      <w:r w:rsidRPr="00AC5FFA">
        <w:t xml:space="preserve"> (LG Act) requires the Victorian Electoral Commission (VEC) to conduct a subdivision review to ensure the equitable representation of all voters in a local council.</w:t>
      </w:r>
      <w:r w:rsidRPr="00DC3747">
        <w:rPr>
          <w:rStyle w:val="FootnoteReference"/>
        </w:rPr>
        <w:footnoteReference w:id="1"/>
      </w:r>
      <w:r w:rsidRPr="00AC5FFA">
        <w:t xml:space="preserve"> The LG Act prescribes that the number of voters per councillor in each ward must be within plus-or-minus 10% of the average number of voters per councillor across the local council.</w:t>
      </w:r>
      <w:r w:rsidRPr="0021241B">
        <w:rPr>
          <w:rStyle w:val="FootnoteReference"/>
        </w:rPr>
        <w:t xml:space="preserve"> </w:t>
      </w:r>
      <w:r w:rsidRPr="00DC3747">
        <w:rPr>
          <w:rStyle w:val="FootnoteReference"/>
        </w:rPr>
        <w:footnoteReference w:id="2"/>
      </w:r>
      <w:r w:rsidRPr="00AC5FFA">
        <w:t xml:space="preserve"> This is known as the ‘equality requirement’.</w:t>
      </w:r>
    </w:p>
    <w:p w14:paraId="472B3286" w14:textId="77777777" w:rsidR="007E7FE1" w:rsidRPr="00AC5FFA" w:rsidRDefault="007E7FE1" w:rsidP="00AC5FFA">
      <w:pPr>
        <w:pStyle w:val="BodyText"/>
      </w:pPr>
      <w:r w:rsidRPr="00AC5FFA">
        <w:t xml:space="preserve">As population changes affect voter numbers and distribution in subdivided local councils, one or more wards may be unlikely to meet this requirement at the next general election. In such circumstances, the VEC recommends adjustments to internal ward boundaries to ensure that all wards meet the equality requirement before the next election and ideally, until the next scheduled electoral representation review. </w:t>
      </w:r>
    </w:p>
    <w:p w14:paraId="5F3E2B07" w14:textId="77777777" w:rsidR="007E7FE1" w:rsidRPr="00AC5FFA" w:rsidRDefault="007E7FE1" w:rsidP="005D05B8">
      <w:pPr>
        <w:pStyle w:val="Heading2noTOC"/>
      </w:pPr>
      <w:r w:rsidRPr="00AC5FFA">
        <w:t>Current number of councillors and electoral structure</w:t>
      </w:r>
    </w:p>
    <w:p w14:paraId="6F058382" w14:textId="77777777" w:rsidR="00210A88" w:rsidRPr="00AC3AF4" w:rsidRDefault="00210A88" w:rsidP="00210A88">
      <w:pPr>
        <w:pStyle w:val="BodyText"/>
      </w:pPr>
      <w:r w:rsidRPr="008C4F9C">
        <w:rPr>
          <w:noProof/>
        </w:rPr>
        <w:t>Hume City Council</w:t>
      </w:r>
      <w:r w:rsidRPr="008C4F9C">
        <w:t xml:space="preserve"> currently</w:t>
      </w:r>
      <w:r w:rsidRPr="00AC3AF4">
        <w:t xml:space="preserve"> comprises</w:t>
      </w:r>
      <w:r>
        <w:t xml:space="preserve"> 11 councillors elected from three wards (one three-councillor ward and two four-councillor wards)</w:t>
      </w:r>
      <w:r w:rsidRPr="00AC3AF4">
        <w:t xml:space="preserve">. More </w:t>
      </w:r>
      <w:r w:rsidRPr="00136283">
        <w:t xml:space="preserve">information on </w:t>
      </w:r>
      <w:r w:rsidRPr="00136283">
        <w:rPr>
          <w:noProof/>
        </w:rPr>
        <w:t>Hume City Council</w:t>
      </w:r>
      <w:r w:rsidRPr="00136283">
        <w:t xml:space="preserve"> is available on the VEC website at </w:t>
      </w:r>
      <w:hyperlink r:id="rId16" w:history="1">
        <w:r w:rsidRPr="00136283">
          <w:rPr>
            <w:rStyle w:val="Hyperlink"/>
          </w:rPr>
          <w:t>vec.vic.gov.au</w:t>
        </w:r>
      </w:hyperlink>
      <w:r w:rsidRPr="00136283">
        <w:t>.</w:t>
      </w:r>
    </w:p>
    <w:p w14:paraId="4192F582" w14:textId="77777777" w:rsidR="00210A88" w:rsidRPr="00AC5FFA" w:rsidRDefault="00210A88" w:rsidP="00AC5FFA">
      <w:pPr>
        <w:pStyle w:val="BodyText"/>
      </w:pPr>
      <w:r w:rsidRPr="00136283">
        <w:t xml:space="preserve">In 2018, the VEC notified the Minister for Local Government that one or more wards were unlikely to meet the equality requirement at the 2020 general election. Accordingly, the Minister notified the VEC that a subdivision review of </w:t>
      </w:r>
      <w:r w:rsidRPr="00136283">
        <w:rPr>
          <w:noProof/>
        </w:rPr>
        <w:t>Hume City Council</w:t>
      </w:r>
      <w:r w:rsidRPr="00136283">
        <w:t xml:space="preserve"> was required before the 2020 general election.</w:t>
      </w:r>
    </w:p>
    <w:p w14:paraId="3DE149A1" w14:textId="77777777" w:rsidR="007E7FE1" w:rsidRPr="00AC5FFA" w:rsidRDefault="007E7FE1" w:rsidP="006845EE">
      <w:pPr>
        <w:pStyle w:val="Heading2noTOC"/>
      </w:pPr>
      <w:r w:rsidRPr="00AC5FFA">
        <w:t>Preliminary report</w:t>
      </w:r>
    </w:p>
    <w:p w14:paraId="06D27152" w14:textId="77777777" w:rsidR="007E7FE1" w:rsidRPr="00534407" w:rsidRDefault="007E7FE1" w:rsidP="00AC5FFA">
      <w:pPr>
        <w:pStyle w:val="BodyText"/>
      </w:pPr>
      <w:r w:rsidRPr="00AC5FFA">
        <w:t xml:space="preserve">A preliminary report was </w:t>
      </w:r>
      <w:r w:rsidRPr="008F422D">
        <w:t xml:space="preserve">released on </w:t>
      </w:r>
      <w:r w:rsidRPr="008F422D">
        <w:rPr>
          <w:noProof/>
        </w:rPr>
        <w:t>Wednesday 26 February 2020</w:t>
      </w:r>
      <w:r w:rsidRPr="008F422D">
        <w:t xml:space="preserve"> proposing</w:t>
      </w:r>
      <w:r w:rsidRPr="00AC5FFA">
        <w:t xml:space="preserve"> adjustments to the </w:t>
      </w:r>
      <w:r w:rsidRPr="00534407">
        <w:t xml:space="preserve">boundaries </w:t>
      </w:r>
      <w:r w:rsidR="00534407" w:rsidRPr="00534407">
        <w:t>that affect all wards within Hume City Council</w:t>
      </w:r>
      <w:r w:rsidRPr="00534407">
        <w:t>:</w:t>
      </w:r>
    </w:p>
    <w:p w14:paraId="5252035F" w14:textId="77777777" w:rsidR="007E7FE1" w:rsidRPr="00534407" w:rsidRDefault="00534407" w:rsidP="008757E5">
      <w:pPr>
        <w:pStyle w:val="BodyText"/>
        <w:numPr>
          <w:ilvl w:val="0"/>
          <w:numId w:val="7"/>
        </w:numPr>
      </w:pPr>
      <w:r w:rsidRPr="00534407">
        <w:t>Aitken Ward</w:t>
      </w:r>
    </w:p>
    <w:p w14:paraId="2F583046" w14:textId="77777777" w:rsidR="00534407" w:rsidRPr="00534407" w:rsidRDefault="00534407" w:rsidP="008757E5">
      <w:pPr>
        <w:pStyle w:val="BodyText"/>
        <w:numPr>
          <w:ilvl w:val="0"/>
          <w:numId w:val="7"/>
        </w:numPr>
      </w:pPr>
      <w:r w:rsidRPr="00534407">
        <w:t>Jacksons Creek Ward</w:t>
      </w:r>
    </w:p>
    <w:p w14:paraId="6540C252" w14:textId="77777777" w:rsidR="007E7FE1" w:rsidRPr="00534407" w:rsidRDefault="00534407" w:rsidP="008757E5">
      <w:pPr>
        <w:pStyle w:val="BodyText"/>
        <w:numPr>
          <w:ilvl w:val="0"/>
          <w:numId w:val="7"/>
        </w:numPr>
      </w:pPr>
      <w:r w:rsidRPr="00534407">
        <w:t>Meadow Valley Ward</w:t>
      </w:r>
    </w:p>
    <w:p w14:paraId="006BBC47" w14:textId="77777777" w:rsidR="007E7FE1" w:rsidRPr="00AC5FFA" w:rsidRDefault="007E7FE1" w:rsidP="00AC5FFA">
      <w:pPr>
        <w:pStyle w:val="Heading2noTOC"/>
      </w:pPr>
      <w:r w:rsidRPr="00AC5FFA">
        <w:t>Response submissions</w:t>
      </w:r>
    </w:p>
    <w:p w14:paraId="4022A644" w14:textId="77777777" w:rsidR="007E7FE1" w:rsidRPr="00AC5FFA" w:rsidRDefault="007E7FE1" w:rsidP="00C85482">
      <w:pPr>
        <w:pStyle w:val="BodyText"/>
      </w:pPr>
      <w:r w:rsidRPr="00AC5FFA">
        <w:t xml:space="preserve">The VEC received </w:t>
      </w:r>
      <w:r w:rsidR="00534407">
        <w:t>four</w:t>
      </w:r>
      <w:r w:rsidRPr="00AC5FFA">
        <w:t xml:space="preserve"> </w:t>
      </w:r>
      <w:r w:rsidRPr="00534407">
        <w:t xml:space="preserve">submissions responding to the preliminary report by the deadline of 5.00 pm on </w:t>
      </w:r>
      <w:r w:rsidRPr="00534407">
        <w:rPr>
          <w:noProof/>
        </w:rPr>
        <w:t>Wednesday 25 March 2020</w:t>
      </w:r>
      <w:r w:rsidRPr="00534407">
        <w:t>.</w:t>
      </w:r>
      <w:r w:rsidRPr="00AC5FFA">
        <w:t xml:space="preserve"> </w:t>
      </w:r>
    </w:p>
    <w:p w14:paraId="0C515A92" w14:textId="77777777" w:rsidR="007E7FE1" w:rsidRPr="00AC5FFA" w:rsidRDefault="007E7FE1" w:rsidP="006845EE">
      <w:pPr>
        <w:pStyle w:val="Heading2noTOC"/>
      </w:pPr>
      <w:r w:rsidRPr="00AC5FFA">
        <w:lastRenderedPageBreak/>
        <w:t>Public hearing</w:t>
      </w:r>
    </w:p>
    <w:p w14:paraId="280C4624" w14:textId="77777777" w:rsidR="007E7FE1" w:rsidRPr="00AC5FFA" w:rsidRDefault="007E7FE1" w:rsidP="00C85482">
      <w:pPr>
        <w:pStyle w:val="BodyText"/>
      </w:pPr>
      <w:r w:rsidRPr="00AC5FFA">
        <w:t xml:space="preserve">The VEC conducted a public hearing for those wishing to speak about their response submission </w:t>
      </w:r>
      <w:r w:rsidRPr="00A37EB5">
        <w:t xml:space="preserve">at </w:t>
      </w:r>
      <w:r w:rsidRPr="00A37EB5">
        <w:rPr>
          <w:noProof/>
        </w:rPr>
        <w:t>7.00 pm</w:t>
      </w:r>
      <w:r w:rsidRPr="00A37EB5">
        <w:t xml:space="preserve"> on </w:t>
      </w:r>
      <w:r w:rsidRPr="00A37EB5">
        <w:rPr>
          <w:noProof/>
        </w:rPr>
        <w:t>Monday 30 March 2020</w:t>
      </w:r>
      <w:r w:rsidRPr="00A37EB5">
        <w:t>.</w:t>
      </w:r>
      <w:r w:rsidRPr="00AC5FFA">
        <w:t xml:space="preserve"> </w:t>
      </w:r>
      <w:r w:rsidR="002A52B4">
        <w:t>Two people</w:t>
      </w:r>
      <w:r w:rsidRPr="00AC5FFA">
        <w:t xml:space="preserve"> spoke at the hearing.</w:t>
      </w:r>
    </w:p>
    <w:p w14:paraId="79EBA845" w14:textId="77777777" w:rsidR="007E7FE1" w:rsidRPr="00AC5FFA" w:rsidRDefault="007E7FE1" w:rsidP="006845EE">
      <w:pPr>
        <w:pStyle w:val="Heading2noTOC"/>
      </w:pPr>
      <w:r w:rsidRPr="00AC5FFA">
        <w:t>Recommendation</w:t>
      </w:r>
    </w:p>
    <w:p w14:paraId="60A34D0F" w14:textId="77777777" w:rsidR="007E7FE1" w:rsidRPr="00AC5FFA" w:rsidRDefault="007E7FE1" w:rsidP="00F8244B">
      <w:pPr>
        <w:pStyle w:val="BodyText"/>
      </w:pPr>
      <w:r w:rsidRPr="00AC5FFA">
        <w:t xml:space="preserve">The Victorian Electoral Commission recommends adjustments to the boundaries </w:t>
      </w:r>
      <w:r w:rsidR="00050E36">
        <w:t>of all wards</w:t>
      </w:r>
      <w:r w:rsidRPr="00AC5FFA">
        <w:t xml:space="preserve"> </w:t>
      </w:r>
      <w:r w:rsidRPr="00A37EB5">
        <w:t xml:space="preserve">within </w:t>
      </w:r>
      <w:r w:rsidRPr="00A37EB5">
        <w:rPr>
          <w:noProof/>
        </w:rPr>
        <w:t>Hume City Council</w:t>
      </w:r>
      <w:r w:rsidRPr="00A37EB5">
        <w:t>:</w:t>
      </w:r>
    </w:p>
    <w:p w14:paraId="73D02B29" w14:textId="77777777" w:rsidR="00050E36" w:rsidRDefault="00050E36" w:rsidP="008757E5">
      <w:pPr>
        <w:pStyle w:val="BodyText"/>
        <w:numPr>
          <w:ilvl w:val="0"/>
          <w:numId w:val="6"/>
        </w:numPr>
      </w:pPr>
      <w:r>
        <w:t>Aitken Ward</w:t>
      </w:r>
    </w:p>
    <w:p w14:paraId="1414C79F" w14:textId="77777777" w:rsidR="007E7FE1" w:rsidRPr="00AC5FFA" w:rsidRDefault="007B12F3" w:rsidP="008757E5">
      <w:pPr>
        <w:pStyle w:val="BodyText"/>
        <w:numPr>
          <w:ilvl w:val="0"/>
          <w:numId w:val="6"/>
        </w:numPr>
      </w:pPr>
      <w:r>
        <w:t>Jacksons Creek Ward</w:t>
      </w:r>
    </w:p>
    <w:p w14:paraId="7C3ADED2" w14:textId="77777777" w:rsidR="007E7FE1" w:rsidRPr="00AC5FFA" w:rsidRDefault="00050E36" w:rsidP="008757E5">
      <w:pPr>
        <w:pStyle w:val="BodyText"/>
        <w:numPr>
          <w:ilvl w:val="0"/>
          <w:numId w:val="6"/>
        </w:numPr>
      </w:pPr>
      <w:r>
        <w:t>Meadow Valley Ward</w:t>
      </w:r>
    </w:p>
    <w:p w14:paraId="79832A1A" w14:textId="77777777" w:rsidR="007E7FE1" w:rsidRPr="00AC5FFA" w:rsidRDefault="007E7FE1" w:rsidP="00F8244B">
      <w:pPr>
        <w:pStyle w:val="BodyText"/>
      </w:pPr>
      <w:r w:rsidRPr="00AC5FFA">
        <w:t xml:space="preserve">This recommendation is submitted to the Minister for Local Government as required by the </w:t>
      </w:r>
      <w:r w:rsidRPr="00AC5FFA">
        <w:rPr>
          <w:i/>
        </w:rPr>
        <w:t>Local Government Act 1989</w:t>
      </w:r>
      <w:r w:rsidRPr="00AC5FFA">
        <w:t>.</w:t>
      </w:r>
    </w:p>
    <w:p w14:paraId="37F3258D" w14:textId="77777777" w:rsidR="007E7FE1" w:rsidRPr="00AC5FFA" w:rsidRDefault="007E7FE1" w:rsidP="00F8244B">
      <w:pPr>
        <w:pStyle w:val="BodyText"/>
      </w:pPr>
      <w:r w:rsidRPr="004462D0">
        <w:t>Please see Appendix 2 for a detailed map of the recommended ward boundaries.</w:t>
      </w:r>
    </w:p>
    <w:p w14:paraId="05F460AD" w14:textId="77777777" w:rsidR="007E7FE1" w:rsidRPr="00AC5FFA" w:rsidRDefault="007E7FE1" w:rsidP="005D05B8">
      <w:pPr>
        <w:pStyle w:val="Heading1numbered"/>
        <w:keepNext w:val="0"/>
        <w:keepLines w:val="0"/>
        <w:widowControl w:val="0"/>
      </w:pPr>
      <w:r w:rsidRPr="00AC5FFA">
        <w:br w:type="page"/>
      </w:r>
      <w:bookmarkStart w:id="3" w:name="_Toc37332237"/>
      <w:r w:rsidRPr="00AC5FFA">
        <w:lastRenderedPageBreak/>
        <w:t>Background</w:t>
      </w:r>
      <w:bookmarkEnd w:id="3"/>
    </w:p>
    <w:p w14:paraId="0B2D8725" w14:textId="77777777" w:rsidR="007E7FE1" w:rsidRDefault="007E7FE1" w:rsidP="00F8244B">
      <w:pPr>
        <w:pStyle w:val="Heading2numbered"/>
      </w:pPr>
      <w:bookmarkStart w:id="4" w:name="_Toc37332238"/>
      <w:r w:rsidRPr="00AC3AF4">
        <w:t>Legislative basis</w:t>
      </w:r>
      <w:bookmarkEnd w:id="4"/>
    </w:p>
    <w:p w14:paraId="6CA6560E" w14:textId="77777777" w:rsidR="007E7FE1" w:rsidRPr="004B721C" w:rsidRDefault="007E7FE1" w:rsidP="00F8244B">
      <w:pPr>
        <w:pStyle w:val="BodyText"/>
      </w:pPr>
      <w:r w:rsidRPr="004B721C">
        <w:t xml:space="preserve">The </w:t>
      </w:r>
      <w:r w:rsidRPr="004B721C">
        <w:rPr>
          <w:i/>
        </w:rPr>
        <w:t>Local Government Act 1989</w:t>
      </w:r>
      <w:r w:rsidRPr="004B721C">
        <w:t xml:space="preserve"> (LG Act) requires the V</w:t>
      </w:r>
      <w:r>
        <w:t xml:space="preserve">ictorian </w:t>
      </w:r>
      <w:r w:rsidRPr="004B721C">
        <w:t>E</w:t>
      </w:r>
      <w:r>
        <w:t xml:space="preserve">lectoral </w:t>
      </w:r>
      <w:r w:rsidRPr="004B721C">
        <w:t>C</w:t>
      </w:r>
      <w:r>
        <w:t>ommission (VEC)</w:t>
      </w:r>
      <w:r w:rsidRPr="004B721C">
        <w:t xml:space="preserve"> to conduct a </w:t>
      </w:r>
      <w:r>
        <w:t xml:space="preserve">subdivision </w:t>
      </w:r>
      <w:r w:rsidRPr="004B721C">
        <w:t xml:space="preserve">review </w:t>
      </w:r>
      <w:r w:rsidRPr="0074363A">
        <w:t xml:space="preserve">to </w:t>
      </w:r>
      <w:r>
        <w:t xml:space="preserve">ensure the equitable representation of all voters in a local council. The LG Act prescribes that </w:t>
      </w:r>
      <w:r w:rsidRPr="0074363A">
        <w:t xml:space="preserve">the number of voters </w:t>
      </w:r>
      <w:r>
        <w:t xml:space="preserve">per </w:t>
      </w:r>
      <w:r w:rsidRPr="0074363A">
        <w:t>councillor</w:t>
      </w:r>
      <w:r>
        <w:t xml:space="preserve"> in each ward must be </w:t>
      </w:r>
      <w:r w:rsidRPr="0074363A">
        <w:t xml:space="preserve">within </w:t>
      </w:r>
      <w:r>
        <w:t xml:space="preserve">plus-or-minus </w:t>
      </w:r>
      <w:r w:rsidRPr="0074363A">
        <w:t>10</w:t>
      </w:r>
      <w:r>
        <w:t>%</w:t>
      </w:r>
      <w:r w:rsidRPr="0074363A">
        <w:t xml:space="preserve"> of the average number of voters per councillor across the </w:t>
      </w:r>
      <w:r>
        <w:t>local council</w:t>
      </w:r>
      <w:r w:rsidRPr="004B721C">
        <w:t>.</w:t>
      </w:r>
      <w:r w:rsidRPr="0021241B">
        <w:rPr>
          <w:rStyle w:val="FootnoteReference"/>
        </w:rPr>
        <w:t xml:space="preserve"> </w:t>
      </w:r>
      <w:r w:rsidRPr="00DC3747">
        <w:rPr>
          <w:rStyle w:val="FootnoteReference"/>
        </w:rPr>
        <w:footnoteReference w:id="3"/>
      </w:r>
      <w:r>
        <w:t xml:space="preserve"> This is known as the ‘equality requirement’.</w:t>
      </w:r>
    </w:p>
    <w:p w14:paraId="44403918" w14:textId="77777777" w:rsidR="007E7FE1" w:rsidRDefault="007E7FE1" w:rsidP="00F8244B">
      <w:pPr>
        <w:pStyle w:val="BodyText"/>
      </w:pPr>
      <w:r w:rsidRPr="00FF303A">
        <w:t xml:space="preserve">As population changes affect voter numbers and distribution in subdivided local councils, one or more wards may be unlikely to meet this requirement at the next general election. </w:t>
      </w:r>
      <w:r>
        <w:t>In such circumstances, t</w:t>
      </w:r>
      <w:r w:rsidRPr="00FF303A">
        <w:t>he VEC recommends adjustments to internal ward boundaries to ensure that all wards meet the equality requirement before the next election and ideally, until the next scheduled</w:t>
      </w:r>
      <w:r>
        <w:t xml:space="preserve"> electoral representation review</w:t>
      </w:r>
      <w:r w:rsidRPr="004B721C">
        <w:t xml:space="preserve">. </w:t>
      </w:r>
    </w:p>
    <w:p w14:paraId="6EDB17AC" w14:textId="77777777" w:rsidR="007E7FE1" w:rsidRPr="00FF303A" w:rsidRDefault="007E7FE1" w:rsidP="00F8244B">
      <w:pPr>
        <w:pStyle w:val="BodyText"/>
      </w:pPr>
      <w:r w:rsidRPr="00FF303A">
        <w:t>Subdivision reviews only apply to subdivided councils:</w:t>
      </w:r>
    </w:p>
    <w:p w14:paraId="66280609" w14:textId="77777777" w:rsidR="007E7FE1" w:rsidRDefault="007E7FE1" w:rsidP="008757E5">
      <w:pPr>
        <w:pStyle w:val="BodyText"/>
        <w:numPr>
          <w:ilvl w:val="0"/>
          <w:numId w:val="8"/>
        </w:numPr>
      </w:pPr>
      <w:r w:rsidRPr="00FF303A">
        <w:t xml:space="preserve">that are not scheduled for an electoral representation review before the next general election </w:t>
      </w:r>
    </w:p>
    <w:p w14:paraId="287C7E7B" w14:textId="77777777" w:rsidR="007E7FE1" w:rsidRPr="00FF303A" w:rsidRDefault="007E7FE1" w:rsidP="00F8244B">
      <w:pPr>
        <w:pStyle w:val="BodyText"/>
        <w:ind w:left="720"/>
      </w:pPr>
      <w:r w:rsidRPr="00FF303A">
        <w:t>and</w:t>
      </w:r>
    </w:p>
    <w:p w14:paraId="4B0D0E26" w14:textId="77777777" w:rsidR="007E7FE1" w:rsidRPr="00FF303A" w:rsidRDefault="007E7FE1" w:rsidP="008757E5">
      <w:pPr>
        <w:pStyle w:val="BodyText"/>
        <w:numPr>
          <w:ilvl w:val="0"/>
          <w:numId w:val="8"/>
        </w:numPr>
      </w:pPr>
      <w:r w:rsidRPr="00FF303A">
        <w:t>where, two years before the council is to hold a general election, the VEC considers one or more wards are unlikely to meet the equality requirement at the time of the next general election.</w:t>
      </w:r>
    </w:p>
    <w:p w14:paraId="4EE49CFF" w14:textId="77777777" w:rsidR="007E7FE1" w:rsidRPr="0093041C" w:rsidRDefault="007E7FE1" w:rsidP="00F8244B">
      <w:pPr>
        <w:pStyle w:val="Heading3"/>
      </w:pPr>
      <w:r w:rsidRPr="0093041C">
        <w:t>Scope</w:t>
      </w:r>
    </w:p>
    <w:p w14:paraId="3367D0A2" w14:textId="77777777" w:rsidR="007E7FE1" w:rsidRPr="00FF303A" w:rsidRDefault="007E7FE1" w:rsidP="00F8244B">
      <w:pPr>
        <w:pStyle w:val="BodyText"/>
      </w:pPr>
      <w:r w:rsidRPr="00FF303A">
        <w:t>A subdivision review only considers the location of ward boundaries. A subdivision review cannot consider changes to the number of councillors or wards.</w:t>
      </w:r>
    </w:p>
    <w:p w14:paraId="5B217538" w14:textId="77777777" w:rsidR="00497077" w:rsidRDefault="00F722BF" w:rsidP="00F8244B">
      <w:pPr>
        <w:pStyle w:val="BodyText"/>
      </w:pPr>
      <w:r w:rsidRPr="00F722BF">
        <w:t xml:space="preserve">These changes are considered in an electoral representation review. Following the passing of the </w:t>
      </w:r>
      <w:r w:rsidRPr="00026D1D">
        <w:rPr>
          <w:i/>
        </w:rPr>
        <w:t>Local Government Act 2020</w:t>
      </w:r>
      <w:r w:rsidRPr="00F722BF">
        <w:t xml:space="preserve">, such matters will be considered by an electoral representation advisory panel. </w:t>
      </w:r>
    </w:p>
    <w:p w14:paraId="2970DF41" w14:textId="7DAC6EBE" w:rsidR="007E7FE1" w:rsidRPr="00FF303A" w:rsidRDefault="007E7FE1" w:rsidP="00F8244B">
      <w:pPr>
        <w:pStyle w:val="BodyText"/>
      </w:pPr>
      <w:r w:rsidRPr="00FF303A">
        <w:t>A subdivision review also cannot change the external boundaries of the local council, divide local councils, or amalgamate local councils. These changes can only be made by an Order in Council.</w:t>
      </w:r>
      <w:r w:rsidRPr="00FF303A">
        <w:br/>
      </w:r>
    </w:p>
    <w:p w14:paraId="6A318086" w14:textId="77777777" w:rsidR="007E7FE1" w:rsidRPr="00024AD6" w:rsidRDefault="007E7FE1" w:rsidP="00F8244B">
      <w:pPr>
        <w:pStyle w:val="Heading2numbered"/>
      </w:pPr>
      <w:bookmarkStart w:id="5" w:name="_Toc37332239"/>
      <w:r w:rsidRPr="00024AD6">
        <w:lastRenderedPageBreak/>
        <w:t>The VEC’s approach</w:t>
      </w:r>
      <w:bookmarkEnd w:id="5"/>
    </w:p>
    <w:p w14:paraId="081C9290" w14:textId="77777777" w:rsidR="007E7FE1" w:rsidRPr="00AC5FFA" w:rsidRDefault="007E7FE1" w:rsidP="00675FC6">
      <w:pPr>
        <w:pStyle w:val="Heading3"/>
      </w:pPr>
      <w:r w:rsidRPr="00AC5FFA">
        <w:t xml:space="preserve">Public information program </w:t>
      </w:r>
    </w:p>
    <w:p w14:paraId="4B2F57C8" w14:textId="77777777" w:rsidR="007E7FE1" w:rsidRPr="00AC5FFA" w:rsidRDefault="007E7FE1" w:rsidP="00675FC6">
      <w:pPr>
        <w:pStyle w:val="BodyText"/>
      </w:pPr>
      <w:r w:rsidRPr="00AC5FFA">
        <w:t xml:space="preserve">The VEC conducted a public information program to inform the community of the </w:t>
      </w:r>
      <w:r>
        <w:t>subdivision</w:t>
      </w:r>
      <w:r w:rsidRPr="00AC5FFA">
        <w:t xml:space="preserve"> review, including:</w:t>
      </w:r>
    </w:p>
    <w:p w14:paraId="724779B5" w14:textId="77777777" w:rsidR="007E7FE1" w:rsidRPr="00AC5FFA" w:rsidRDefault="007E7FE1" w:rsidP="008757E5">
      <w:pPr>
        <w:pStyle w:val="BodyText"/>
        <w:numPr>
          <w:ilvl w:val="0"/>
          <w:numId w:val="5"/>
        </w:numPr>
      </w:pPr>
      <w:r>
        <w:t xml:space="preserve">a </w:t>
      </w:r>
      <w:r w:rsidRPr="00AC5FFA">
        <w:t>public notice printed in local papers</w:t>
      </w:r>
    </w:p>
    <w:p w14:paraId="3B14FDBB" w14:textId="77777777" w:rsidR="007E7FE1" w:rsidRPr="00AC5FFA" w:rsidRDefault="007E7FE1" w:rsidP="008757E5">
      <w:pPr>
        <w:pStyle w:val="BodyText"/>
        <w:numPr>
          <w:ilvl w:val="0"/>
          <w:numId w:val="5"/>
        </w:numPr>
      </w:pPr>
      <w:r w:rsidRPr="00AC5FFA">
        <w:t xml:space="preserve">a media release announcing the release of the preliminary report </w:t>
      </w:r>
    </w:p>
    <w:p w14:paraId="2F56B4D8" w14:textId="77777777" w:rsidR="007E7FE1" w:rsidRPr="00AC5FFA" w:rsidRDefault="007E7FE1" w:rsidP="008757E5">
      <w:pPr>
        <w:pStyle w:val="BodyText"/>
        <w:numPr>
          <w:ilvl w:val="0"/>
          <w:numId w:val="5"/>
        </w:numPr>
      </w:pPr>
      <w:r w:rsidRPr="00AC5FFA">
        <w:t>an information email campaign targeted at known community groups and communities of interest in the local council area</w:t>
      </w:r>
    </w:p>
    <w:p w14:paraId="2C648801" w14:textId="77777777" w:rsidR="007E7FE1" w:rsidRPr="00AC5FFA" w:rsidRDefault="007E7FE1" w:rsidP="008757E5">
      <w:pPr>
        <w:pStyle w:val="BodyText"/>
        <w:numPr>
          <w:ilvl w:val="0"/>
          <w:numId w:val="5"/>
        </w:numPr>
      </w:pPr>
      <w:r w:rsidRPr="00AC5FFA">
        <w:t xml:space="preserve">sponsored social media advertising geo-targeted to users within the local council </w:t>
      </w:r>
      <w:r w:rsidRPr="00AC5FFA">
        <w:br/>
        <w:t xml:space="preserve">area </w:t>
      </w:r>
    </w:p>
    <w:p w14:paraId="27C2576C" w14:textId="77777777" w:rsidR="007E7FE1" w:rsidRPr="004B2E10" w:rsidRDefault="007E7FE1" w:rsidP="008757E5">
      <w:pPr>
        <w:pStyle w:val="BodyText"/>
        <w:numPr>
          <w:ilvl w:val="0"/>
          <w:numId w:val="5"/>
        </w:numPr>
      </w:pPr>
      <w:r w:rsidRPr="00AC5FFA">
        <w:t xml:space="preserve">ongoing information </w:t>
      </w:r>
      <w:r w:rsidRPr="004B2E10">
        <w:t>updates and publication of submissions on the VEC website.</w:t>
      </w:r>
    </w:p>
    <w:p w14:paraId="65A08188" w14:textId="77777777" w:rsidR="007E7FE1" w:rsidRPr="00AC5FFA" w:rsidRDefault="007E7FE1" w:rsidP="008851C8">
      <w:pPr>
        <w:pStyle w:val="BodyText"/>
      </w:pPr>
      <w:r w:rsidRPr="004B2E10">
        <w:t xml:space="preserve">More information on the VEC’s public information program for the subdivision review of </w:t>
      </w:r>
      <w:r w:rsidRPr="004B2E10">
        <w:rPr>
          <w:noProof/>
        </w:rPr>
        <w:t>Hume City Council</w:t>
      </w:r>
      <w:r w:rsidRPr="004B2E10">
        <w:t xml:space="preserve"> can be found</w:t>
      </w:r>
      <w:r w:rsidRPr="00DA28CE">
        <w:t xml:space="preserve"> at Appendix 3.</w:t>
      </w:r>
    </w:p>
    <w:p w14:paraId="59961A31" w14:textId="77777777" w:rsidR="007E7FE1" w:rsidRPr="00AC5FFA" w:rsidRDefault="007E7FE1" w:rsidP="00675FC6">
      <w:pPr>
        <w:pStyle w:val="Heading3"/>
      </w:pPr>
      <w:r w:rsidRPr="00AC5FFA">
        <w:t>Public consultation</w:t>
      </w:r>
    </w:p>
    <w:p w14:paraId="6E77B732" w14:textId="77777777" w:rsidR="007E7FE1" w:rsidRPr="009D736E" w:rsidRDefault="007E7FE1" w:rsidP="00675FC6">
      <w:pPr>
        <w:pStyle w:val="BodyText"/>
      </w:pPr>
      <w:r w:rsidRPr="00AC5FFA">
        <w:t xml:space="preserve">Public input was </w:t>
      </w:r>
      <w:r w:rsidRPr="009D736E">
        <w:t>encouraged by the VEC via:</w:t>
      </w:r>
    </w:p>
    <w:p w14:paraId="01BBDA80" w14:textId="77777777" w:rsidR="007E7FE1" w:rsidRPr="009D736E" w:rsidRDefault="007E7FE1" w:rsidP="008757E5">
      <w:pPr>
        <w:pStyle w:val="BodyText"/>
        <w:numPr>
          <w:ilvl w:val="0"/>
          <w:numId w:val="3"/>
        </w:numPr>
      </w:pPr>
      <w:r w:rsidRPr="009D736E">
        <w:t xml:space="preserve">response submissions to the preliminary report </w:t>
      </w:r>
    </w:p>
    <w:p w14:paraId="1EBA122E" w14:textId="77777777" w:rsidR="007E7FE1" w:rsidRPr="009D736E" w:rsidRDefault="007E7FE1" w:rsidP="008757E5">
      <w:pPr>
        <w:pStyle w:val="BodyText"/>
        <w:numPr>
          <w:ilvl w:val="0"/>
          <w:numId w:val="3"/>
        </w:numPr>
      </w:pPr>
      <w:r w:rsidRPr="009D736E">
        <w:t xml:space="preserve">a public hearing that provided an opportunity for people who had made a response submission to expand on their submission. </w:t>
      </w:r>
    </w:p>
    <w:p w14:paraId="63583299" w14:textId="77777777" w:rsidR="007E7FE1" w:rsidRPr="0093041C" w:rsidRDefault="007E7FE1" w:rsidP="00F8244B">
      <w:pPr>
        <w:pStyle w:val="Heading3"/>
      </w:pPr>
      <w:r w:rsidRPr="0093041C">
        <w:t>Developing recommendations</w:t>
      </w:r>
    </w:p>
    <w:p w14:paraId="4999F7CA" w14:textId="77777777" w:rsidR="007E7FE1" w:rsidRPr="00490CDF" w:rsidRDefault="007E7FE1" w:rsidP="00F8244B">
      <w:pPr>
        <w:pStyle w:val="BodyText"/>
      </w:pPr>
      <w:r w:rsidRPr="00490CDF">
        <w:t>The VEC bases its recommendations for ward boundaries on:</w:t>
      </w:r>
    </w:p>
    <w:p w14:paraId="32C3E2EA" w14:textId="77777777" w:rsidR="007E7FE1" w:rsidRPr="00490CDF" w:rsidRDefault="007E7FE1" w:rsidP="008757E5">
      <w:pPr>
        <w:pStyle w:val="BodyText"/>
        <w:numPr>
          <w:ilvl w:val="0"/>
          <w:numId w:val="2"/>
        </w:numPr>
      </w:pPr>
      <w:r w:rsidRPr="00490CDF">
        <w:t>internal research specifically relating to the local council under review, including voter statistics from the Victorian electoral roll</w:t>
      </w:r>
    </w:p>
    <w:p w14:paraId="1FE4FF61" w14:textId="77777777" w:rsidR="007E7FE1" w:rsidRPr="00490CDF" w:rsidRDefault="007E7FE1" w:rsidP="008757E5">
      <w:pPr>
        <w:pStyle w:val="BodyText"/>
        <w:numPr>
          <w:ilvl w:val="0"/>
          <w:numId w:val="2"/>
        </w:numPr>
      </w:pPr>
      <w:r w:rsidRPr="00490CDF">
        <w:t>small area forecasts provided by .id</w:t>
      </w:r>
      <w:r w:rsidRPr="00490CDF">
        <w:rPr>
          <w:rStyle w:val="FootnoteReference"/>
        </w:rPr>
        <w:footnoteReference w:id="4"/>
      </w:r>
    </w:p>
    <w:p w14:paraId="2F25F3F2" w14:textId="77777777" w:rsidR="007E7FE1" w:rsidRPr="00490CDF" w:rsidRDefault="007E7FE1" w:rsidP="008757E5">
      <w:pPr>
        <w:pStyle w:val="BodyText"/>
        <w:numPr>
          <w:ilvl w:val="0"/>
          <w:numId w:val="2"/>
        </w:numPr>
      </w:pPr>
      <w:r w:rsidRPr="00490CDF">
        <w:t>the VEC’s expertise in mapping, demography and local government</w:t>
      </w:r>
    </w:p>
    <w:p w14:paraId="5E0C5E3C" w14:textId="77777777" w:rsidR="007E7FE1" w:rsidRPr="00490CDF" w:rsidRDefault="007E7FE1" w:rsidP="008757E5">
      <w:pPr>
        <w:pStyle w:val="BodyText"/>
        <w:numPr>
          <w:ilvl w:val="0"/>
          <w:numId w:val="2"/>
        </w:numPr>
      </w:pPr>
      <w:r w:rsidRPr="00490CDF">
        <w:t>consideration of all input from the public in written submissions received during the review</w:t>
      </w:r>
      <w:r>
        <w:t>.</w:t>
      </w:r>
    </w:p>
    <w:p w14:paraId="1B87FD0A" w14:textId="77777777" w:rsidR="007E7FE1" w:rsidRPr="00490CDF" w:rsidRDefault="007E7FE1" w:rsidP="00F8244B">
      <w:pPr>
        <w:pStyle w:val="BodyText"/>
      </w:pPr>
      <w:r w:rsidRPr="00490CDF">
        <w:t xml:space="preserve">In </w:t>
      </w:r>
      <w:r>
        <w:t>determining</w:t>
      </w:r>
      <w:r w:rsidRPr="00490CDF">
        <w:t xml:space="preserve"> which ward boundaries are most appropriate, the VEC considers</w:t>
      </w:r>
      <w:r>
        <w:t xml:space="preserve"> the</w:t>
      </w:r>
      <w:r w:rsidRPr="00490CDF">
        <w:t>:</w:t>
      </w:r>
    </w:p>
    <w:p w14:paraId="4B0328EC" w14:textId="77777777" w:rsidR="007E7FE1" w:rsidRDefault="007E7FE1" w:rsidP="008757E5">
      <w:pPr>
        <w:pStyle w:val="BodyText"/>
        <w:numPr>
          <w:ilvl w:val="0"/>
          <w:numId w:val="4"/>
        </w:numPr>
      </w:pPr>
      <w:r>
        <w:lastRenderedPageBreak/>
        <w:t>number of voters in each ward, to ensure that each ward meets the equality requirement for the next election</w:t>
      </w:r>
    </w:p>
    <w:p w14:paraId="5345B9BA" w14:textId="77777777" w:rsidR="007E7FE1" w:rsidRDefault="007E7FE1" w:rsidP="008757E5">
      <w:pPr>
        <w:pStyle w:val="BodyText"/>
        <w:numPr>
          <w:ilvl w:val="0"/>
          <w:numId w:val="4"/>
        </w:numPr>
      </w:pPr>
      <w:r>
        <w:t xml:space="preserve">number of voters affected by the changes, with the aim of affecting as few voters as possible </w:t>
      </w:r>
    </w:p>
    <w:p w14:paraId="34F3062A" w14:textId="77777777" w:rsidR="007E7FE1" w:rsidRPr="00490CDF" w:rsidRDefault="007E7FE1" w:rsidP="0046456B">
      <w:pPr>
        <w:pStyle w:val="BodyText"/>
        <w:numPr>
          <w:ilvl w:val="0"/>
          <w:numId w:val="4"/>
        </w:numPr>
      </w:pPr>
      <w:r w:rsidRPr="00490CDF">
        <w:t xml:space="preserve">communities of interest </w:t>
      </w:r>
    </w:p>
    <w:p w14:paraId="6A403AD1" w14:textId="77777777" w:rsidR="007E7FE1" w:rsidRDefault="007E7FE1" w:rsidP="0046456B">
      <w:pPr>
        <w:pStyle w:val="BodyText"/>
        <w:numPr>
          <w:ilvl w:val="0"/>
          <w:numId w:val="4"/>
        </w:numPr>
      </w:pPr>
      <w:r>
        <w:t xml:space="preserve">significance of natural and man-made features (such as roads and waterways), to ensure </w:t>
      </w:r>
      <w:r w:rsidRPr="00490CDF">
        <w:t>clear and identifiable ward boundaries</w:t>
      </w:r>
      <w:r w:rsidRPr="0004664E">
        <w:t xml:space="preserve"> </w:t>
      </w:r>
    </w:p>
    <w:p w14:paraId="3D1D61A8" w14:textId="77777777" w:rsidR="007E7FE1" w:rsidRPr="00490CDF" w:rsidRDefault="007E7FE1" w:rsidP="000B44FB">
      <w:pPr>
        <w:pStyle w:val="BodyText"/>
        <w:numPr>
          <w:ilvl w:val="0"/>
          <w:numId w:val="4"/>
        </w:numPr>
      </w:pPr>
      <w:r w:rsidRPr="00490CDF">
        <w:t>geographic factors, such as size and topography</w:t>
      </w:r>
    </w:p>
    <w:p w14:paraId="2B383BEE" w14:textId="77777777" w:rsidR="007E7FE1" w:rsidRPr="00490CDF" w:rsidRDefault="007E7FE1" w:rsidP="008757E5">
      <w:pPr>
        <w:pStyle w:val="BodyText"/>
        <w:numPr>
          <w:ilvl w:val="0"/>
          <w:numId w:val="4"/>
        </w:numPr>
      </w:pPr>
      <w:r w:rsidRPr="00490CDF">
        <w:t>longevity of the structure</w:t>
      </w:r>
      <w:r>
        <w:t>.</w:t>
      </w:r>
    </w:p>
    <w:p w14:paraId="275FE165" w14:textId="77777777" w:rsidR="007E7FE1" w:rsidRPr="00490CDF" w:rsidRDefault="007E7FE1" w:rsidP="00F8244B">
      <w:pPr>
        <w:pStyle w:val="Heading3"/>
      </w:pPr>
      <w:r w:rsidRPr="00490CDF">
        <w:t xml:space="preserve">Communities of interest </w:t>
      </w:r>
    </w:p>
    <w:p w14:paraId="2456A18E" w14:textId="77777777" w:rsidR="007E7FE1" w:rsidRPr="00FE618F" w:rsidRDefault="007E7FE1" w:rsidP="00F8244B">
      <w:pPr>
        <w:pStyle w:val="BodyText"/>
      </w:pPr>
      <w:r w:rsidRPr="00FE618F">
        <w:t xml:space="preserve">Each local council contains </w:t>
      </w:r>
      <w:proofErr w:type="gramStart"/>
      <w:r w:rsidRPr="00FE618F">
        <w:t>a number of</w:t>
      </w:r>
      <w:proofErr w:type="gramEnd"/>
      <w:r w:rsidRPr="00FE618F">
        <w:t xml:space="preserve"> communities of interest. Where practicable, ward boundaries should be designed to ensure they are fairly represented, and that geographic communities of interest are not split. This allows communities with shared concerns to elect a councillor.</w:t>
      </w:r>
    </w:p>
    <w:p w14:paraId="2A809177" w14:textId="77777777" w:rsidR="007E7FE1" w:rsidRPr="00AC5FFA" w:rsidRDefault="007E7FE1" w:rsidP="00F8244B">
      <w:pPr>
        <w:pStyle w:val="BodyText"/>
        <w:rPr>
          <w:highlight w:val="yellow"/>
        </w:rPr>
      </w:pPr>
    </w:p>
    <w:p w14:paraId="215943A5" w14:textId="77777777" w:rsidR="007E7FE1" w:rsidRDefault="007E7FE1" w:rsidP="0046456B">
      <w:pPr>
        <w:pStyle w:val="BodyText"/>
      </w:pPr>
      <w:r w:rsidRPr="00AC5FFA">
        <w:br w:type="page"/>
      </w:r>
    </w:p>
    <w:p w14:paraId="7884DA5E" w14:textId="77777777" w:rsidR="007E7FE1" w:rsidRPr="00C86EF3" w:rsidRDefault="007E7FE1" w:rsidP="0046456B">
      <w:pPr>
        <w:pStyle w:val="Headingcontents"/>
      </w:pPr>
      <w:r w:rsidRPr="00C86EF3">
        <w:rPr>
          <w:noProof/>
        </w:rPr>
        <w:lastRenderedPageBreak/>
        <w:t>Hume City Council</w:t>
      </w:r>
      <w:r w:rsidRPr="00C86EF3">
        <w:t xml:space="preserve"> </w:t>
      </w:r>
    </w:p>
    <w:p w14:paraId="1BBA48A7" w14:textId="77777777" w:rsidR="007E7FE1" w:rsidRPr="00AC5FFA" w:rsidRDefault="007E7FE1" w:rsidP="000B629D">
      <w:pPr>
        <w:pStyle w:val="Heading2numbered"/>
      </w:pPr>
      <w:bookmarkStart w:id="6" w:name="_Toc37332240"/>
      <w:r w:rsidRPr="00C86EF3">
        <w:t xml:space="preserve">Profile of </w:t>
      </w:r>
      <w:r w:rsidRPr="00C86EF3">
        <w:rPr>
          <w:noProof/>
        </w:rPr>
        <w:t>Hume City Council</w:t>
      </w:r>
      <w:bookmarkEnd w:id="6"/>
    </w:p>
    <w:p w14:paraId="5481F5ED" w14:textId="606CD231" w:rsidR="004462D0" w:rsidRPr="003E3C58" w:rsidRDefault="004462D0" w:rsidP="004462D0">
      <w:pPr>
        <w:pStyle w:val="BodyText"/>
      </w:pPr>
      <w:r w:rsidRPr="00AC1195">
        <w:t>Hume City Council is located north-west of the Melbourne CBD, at the interface between metropolitan Melbourne and the surrounding rural area. The local council includes the localities of Attwood, Broadmeadows, Bulla, Campbellfield, Coolaroo, Craigieburn, Dallas, Gladstone Park, Greenvale, Jacana, Kalkallo, Meadow Heights, Melbourne Airport, Mickleham, Oaklands Junction, Roxburgh Park, Somerton, Sunbury,</w:t>
      </w:r>
      <w:r>
        <w:t xml:space="preserve"> </w:t>
      </w:r>
      <w:r w:rsidRPr="00AC1195">
        <w:t>Westmeadows, Wildwood and Yuroke, as well as parts of Clarkefield, Diggers Rest, Fawkner</w:t>
      </w:r>
      <w:r w:rsidR="007A7876">
        <w:t>, Keilor</w:t>
      </w:r>
      <w:r w:rsidRPr="00AC1195">
        <w:t xml:space="preserve"> and Tullamarine.</w:t>
      </w:r>
      <w:r>
        <w:t xml:space="preserve"> </w:t>
      </w:r>
    </w:p>
    <w:p w14:paraId="18C454F9" w14:textId="77777777" w:rsidR="004462D0" w:rsidRDefault="004462D0" w:rsidP="004462D0">
      <w:pPr>
        <w:pStyle w:val="BodyText"/>
      </w:pPr>
      <w:r w:rsidRPr="003E3C58">
        <w:t>The City of Hume comprises both urban and rural areas. The Melbourne Urban Growth Boundary covers much of the local council’s eastern area</w:t>
      </w:r>
      <w:r>
        <w:t xml:space="preserve">, with an additional pocket of </w:t>
      </w:r>
      <w:r w:rsidRPr="003E3C58">
        <w:t xml:space="preserve">Urban Growth Boundary </w:t>
      </w:r>
      <w:r>
        <w:t xml:space="preserve">in the west of the local council area covering </w:t>
      </w:r>
      <w:r w:rsidRPr="003E3C58">
        <w:t xml:space="preserve">Sunbury and surrounds. </w:t>
      </w:r>
    </w:p>
    <w:p w14:paraId="3EFCA00F" w14:textId="77777777" w:rsidR="004462D0" w:rsidRDefault="004462D0" w:rsidP="004462D0">
      <w:pPr>
        <w:pStyle w:val="BodyText"/>
      </w:pPr>
      <w:r w:rsidRPr="003E3C58">
        <w:t xml:space="preserve">Within the Urban Growth Boundary, the local council </w:t>
      </w:r>
      <w:r>
        <w:t xml:space="preserve">area includes </w:t>
      </w:r>
      <w:r w:rsidRPr="003E3C58">
        <w:t>residential</w:t>
      </w:r>
      <w:r>
        <w:t xml:space="preserve">, commercial and industrial areas, </w:t>
      </w:r>
      <w:r w:rsidRPr="003E3C58">
        <w:t>with large areas of former agricultural land currently unde</w:t>
      </w:r>
      <w:r w:rsidRPr="00005C3C">
        <w:t xml:space="preserve">rgoing residential development. The </w:t>
      </w:r>
      <w:r>
        <w:t xml:space="preserve">Northern </w:t>
      </w:r>
      <w:r w:rsidRPr="00005C3C">
        <w:t xml:space="preserve">State </w:t>
      </w:r>
      <w:r>
        <w:t>S</w:t>
      </w:r>
      <w:r w:rsidRPr="00005C3C">
        <w:t xml:space="preserve">ignificant Industrial Precinct is located along the Hume Freeway corridor, with the bulk of this precinct situated in Craigieburn, Somerton, Campbellfield, Coolaroo and Broadmeadows. </w:t>
      </w:r>
    </w:p>
    <w:p w14:paraId="7C9543DA" w14:textId="77777777" w:rsidR="004462D0" w:rsidRDefault="004462D0" w:rsidP="004462D0">
      <w:pPr>
        <w:pStyle w:val="BodyText"/>
      </w:pPr>
      <w:r w:rsidRPr="00005C3C">
        <w:t xml:space="preserve">Additional smaller industrial areas </w:t>
      </w:r>
      <w:proofErr w:type="gramStart"/>
      <w:r w:rsidRPr="00005C3C">
        <w:t>are located in</w:t>
      </w:r>
      <w:proofErr w:type="gramEnd"/>
      <w:r w:rsidRPr="00005C3C">
        <w:t xml:space="preserve"> Sunbury, Tullamarine and Westmeadows. </w:t>
      </w:r>
      <w:proofErr w:type="gramStart"/>
      <w:r w:rsidRPr="00005C3C">
        <w:t>A number of</w:t>
      </w:r>
      <w:proofErr w:type="gramEnd"/>
      <w:r>
        <w:t xml:space="preserve"> retail areas and shopping centres are also located in the local council, including Broadmeadows Central and Craigieburn Central. The Sunbury </w:t>
      </w:r>
      <w:r w:rsidRPr="003E3C58">
        <w:t>Green Wedge comprises the area outside the Urban Growth Boundary</w:t>
      </w:r>
      <w:r>
        <w:t xml:space="preserve"> and separates Sunbury from the developed area to the east.</w:t>
      </w:r>
      <w:r w:rsidRPr="003E3C58">
        <w:t xml:space="preserve"> </w:t>
      </w:r>
      <w:r>
        <w:t>This area of Green Wedge</w:t>
      </w:r>
      <w:r w:rsidRPr="003E3C58">
        <w:t xml:space="preserve"> includes agricultural land, conservation areas and the Melbourne Airport. </w:t>
      </w:r>
    </w:p>
    <w:p w14:paraId="0558EB53" w14:textId="77777777" w:rsidR="004462D0" w:rsidRPr="003E3C58" w:rsidRDefault="004462D0" w:rsidP="004462D0">
      <w:pPr>
        <w:pStyle w:val="BodyText"/>
      </w:pPr>
      <w:r>
        <w:t>T</w:t>
      </w:r>
      <w:r w:rsidRPr="003E3C58">
        <w:t xml:space="preserve">he City </w:t>
      </w:r>
      <w:r>
        <w:t xml:space="preserve">of Hume is also home to </w:t>
      </w:r>
      <w:r w:rsidRPr="003E3C58">
        <w:t xml:space="preserve">the </w:t>
      </w:r>
      <w:proofErr w:type="spellStart"/>
      <w:r w:rsidRPr="003E3C58">
        <w:t>Maygar</w:t>
      </w:r>
      <w:proofErr w:type="spellEnd"/>
      <w:r w:rsidRPr="003E3C58">
        <w:t xml:space="preserve"> Army Barracks, Victoria Police Attwood complex, Broadmeadows Hospital and Sunbury Day Hospital, the </w:t>
      </w:r>
      <w:proofErr w:type="spellStart"/>
      <w:r w:rsidRPr="003E3C58">
        <w:t>Kangan</w:t>
      </w:r>
      <w:proofErr w:type="spellEnd"/>
      <w:r w:rsidRPr="003E3C58">
        <w:t xml:space="preserve"> Institute Broadmeadows Campus </w:t>
      </w:r>
      <w:r>
        <w:t>and</w:t>
      </w:r>
      <w:r w:rsidRPr="003E3C58">
        <w:t xml:space="preserve"> </w:t>
      </w:r>
      <w:r>
        <w:t xml:space="preserve">various </w:t>
      </w:r>
      <w:r w:rsidRPr="003E3C58">
        <w:t>golf clubs.</w:t>
      </w:r>
    </w:p>
    <w:p w14:paraId="3F487CA2" w14:textId="77777777" w:rsidR="004462D0" w:rsidRPr="005C781B" w:rsidRDefault="004462D0" w:rsidP="004462D0">
      <w:pPr>
        <w:pStyle w:val="BodyText"/>
        <w:rPr>
          <w:color w:val="000000"/>
        </w:rPr>
      </w:pPr>
      <w:r w:rsidRPr="003E3C58">
        <w:t>Although specific areas of the local council are experiencing lower than average levels of disadvantage compared to Greater Melbourne, disadvantage across the City of Hume is higher than average overall.</w:t>
      </w:r>
      <w:r w:rsidRPr="003F5168">
        <w:rPr>
          <w:rStyle w:val="FootnoteReference"/>
          <w:color w:val="000000"/>
        </w:rPr>
        <w:footnoteReference w:id="5"/>
      </w:r>
      <w:r w:rsidRPr="003F5168">
        <w:rPr>
          <w:color w:val="000000"/>
        </w:rPr>
        <w:t xml:space="preserve"> </w:t>
      </w:r>
      <w:r>
        <w:rPr>
          <w:color w:val="000000"/>
        </w:rPr>
        <w:t xml:space="preserve">The City of Hume weekly median personal income </w:t>
      </w:r>
      <w:r w:rsidRPr="003E3C58">
        <w:lastRenderedPageBreak/>
        <w:t>($529)</w:t>
      </w:r>
      <w:r>
        <w:t xml:space="preserve"> </w:t>
      </w:r>
      <w:r>
        <w:rPr>
          <w:color w:val="000000"/>
        </w:rPr>
        <w:t xml:space="preserve">and weekly median household income </w:t>
      </w:r>
      <w:r w:rsidRPr="003E3C58">
        <w:t>($1,379)</w:t>
      </w:r>
      <w:r>
        <w:t xml:space="preserve"> are lower than the medians for Greater Melbourne </w:t>
      </w:r>
      <w:r w:rsidRPr="003E3C58">
        <w:t>($673</w:t>
      </w:r>
      <w:r>
        <w:t xml:space="preserve"> and </w:t>
      </w:r>
      <w:r w:rsidRPr="003E3C58">
        <w:t>$1,</w:t>
      </w:r>
      <w:r w:rsidR="005D7281">
        <w:t>542</w:t>
      </w:r>
      <w:r>
        <w:t xml:space="preserve"> respectively</w:t>
      </w:r>
      <w:r w:rsidRPr="003E3C58">
        <w:t>)</w:t>
      </w:r>
      <w:r>
        <w:t>.</w:t>
      </w:r>
      <w:r>
        <w:rPr>
          <w:color w:val="000000"/>
        </w:rPr>
        <w:t xml:space="preserve"> </w:t>
      </w:r>
      <w:r w:rsidRPr="003E3C58">
        <w:t>Unemployment within the local council is at 8.7%, which is higher than for Greater Melbourne (6.8%) and regional Victoria (6.0%).</w:t>
      </w:r>
      <w:r w:rsidRPr="005764BE">
        <w:rPr>
          <w:rStyle w:val="FootnoteReference"/>
          <w:color w:val="000000"/>
        </w:rPr>
        <w:footnoteReference w:id="6"/>
      </w:r>
      <w:r w:rsidRPr="003E3C58">
        <w:t xml:space="preserve">  </w:t>
      </w:r>
    </w:p>
    <w:p w14:paraId="5AE23681" w14:textId="77777777" w:rsidR="004462D0" w:rsidRDefault="004462D0" w:rsidP="004462D0">
      <w:pPr>
        <w:pStyle w:val="BodyText"/>
      </w:pPr>
      <w:r w:rsidRPr="003E3C58">
        <w:t>Levels of cultural and linguistic diversity within the City of Hume are slightly higher compared to Greater Melbourne, and the population has become increasingly diverse over time.</w:t>
      </w:r>
      <w:r w:rsidRPr="005764BE">
        <w:rPr>
          <w:rStyle w:val="FootnoteReference"/>
          <w:color w:val="000000"/>
        </w:rPr>
        <w:footnoteReference w:id="7"/>
      </w:r>
      <w:r w:rsidRPr="003E3C58">
        <w:t xml:space="preserve"> At least 35.7% of residents were born overseas and 44.9% speak a language other than English at home, compared to 33.8% and 32.3% </w:t>
      </w:r>
      <w:r>
        <w:t xml:space="preserve">respectively </w:t>
      </w:r>
      <w:r w:rsidRPr="003E3C58">
        <w:t xml:space="preserve">across Greater Melbourne. For those born overseas, the most common countries of birth </w:t>
      </w:r>
      <w:r>
        <w:t xml:space="preserve">at the time of the 2016 Census </w:t>
      </w:r>
      <w:r w:rsidRPr="003E3C58">
        <w:t>were Iraq (5.4%), India (4.4%), Turkey (3.1%), Lebanon (1.8%) and New Zealand (1.7%).</w:t>
      </w:r>
      <w:r w:rsidRPr="00C70A39">
        <w:rPr>
          <w:rStyle w:val="FootnoteReference"/>
          <w:color w:val="000000"/>
        </w:rPr>
        <w:footnoteReference w:id="8"/>
      </w:r>
      <w:r w:rsidRPr="003E3C58">
        <w:t xml:space="preserve"> </w:t>
      </w:r>
    </w:p>
    <w:p w14:paraId="3351E308" w14:textId="0933759A" w:rsidR="004462D0" w:rsidRPr="003E3C58" w:rsidRDefault="004462D0" w:rsidP="004462D0">
      <w:pPr>
        <w:pStyle w:val="BodyText"/>
      </w:pPr>
      <w:r w:rsidRPr="003E3C58">
        <w:t>Aboriginal and Torres Strait Islander people comprise 0.7% of the population, which is higher than the Greater Melbourne average of 0.5%.</w:t>
      </w:r>
      <w:r w:rsidRPr="000F01D5">
        <w:rPr>
          <w:rStyle w:val="FootnoteReference"/>
          <w:color w:val="000000"/>
        </w:rPr>
        <w:footnoteReference w:id="9"/>
      </w:r>
      <w:r w:rsidRPr="003E3C58">
        <w:t xml:space="preserve"> The Wurundjeri people are the traditional custodians of the land known as </w:t>
      </w:r>
      <w:r w:rsidR="00DB0E6B">
        <w:t xml:space="preserve">the City of </w:t>
      </w:r>
      <w:r w:rsidRPr="003E3C58">
        <w:t>Hume.</w:t>
      </w:r>
      <w:r w:rsidRPr="00E0785B">
        <w:rPr>
          <w:rStyle w:val="FootnoteReference"/>
          <w:color w:val="000000"/>
        </w:rPr>
        <w:footnoteReference w:id="10"/>
      </w:r>
      <w:r w:rsidRPr="003E3C58">
        <w:t xml:space="preserve"> </w:t>
      </w:r>
    </w:p>
    <w:p w14:paraId="677F8085" w14:textId="77777777" w:rsidR="004462D0" w:rsidRDefault="004462D0" w:rsidP="004462D0">
      <w:pPr>
        <w:pStyle w:val="BodyText"/>
        <w:rPr>
          <w:b/>
          <w:bCs/>
        </w:rPr>
      </w:pPr>
      <w:r w:rsidRPr="003E3C58">
        <w:t>The median age within the</w:t>
      </w:r>
      <w:r>
        <w:t xml:space="preserve"> City of Hume</w:t>
      </w:r>
      <w:r w:rsidRPr="003E3C58">
        <w:t xml:space="preserve"> (33 years) is lower than that of Greater Melbourne (36 years) and families are predominantly comprised of couples with children (54.7%).</w:t>
      </w:r>
      <w:r w:rsidRPr="006B17C2">
        <w:rPr>
          <w:rStyle w:val="FootnoteReference"/>
          <w:color w:val="000000"/>
        </w:rPr>
        <w:footnoteReference w:id="11"/>
      </w:r>
      <w:r w:rsidRPr="003E3C58">
        <w:t xml:space="preserve"> </w:t>
      </w:r>
    </w:p>
    <w:p w14:paraId="21726D9F" w14:textId="77777777" w:rsidR="007E7FE1" w:rsidRDefault="007E7FE1" w:rsidP="00F8244B">
      <w:pPr>
        <w:pStyle w:val="Heading2numbered"/>
      </w:pPr>
      <w:bookmarkStart w:id="7" w:name="_Toc37332241"/>
      <w:r>
        <w:t>Population trends</w:t>
      </w:r>
      <w:bookmarkEnd w:id="7"/>
      <w:r>
        <w:t xml:space="preserve"> </w:t>
      </w:r>
    </w:p>
    <w:p w14:paraId="3DE4378A" w14:textId="77777777" w:rsidR="00FA0E61" w:rsidRPr="00FE23A2" w:rsidRDefault="00FA0E61" w:rsidP="00FA0E61">
      <w:pPr>
        <w:pStyle w:val="BodyText"/>
      </w:pPr>
      <w:r w:rsidRPr="001C2B6A">
        <w:t xml:space="preserve">Hume City Council is experiencing high population growth. </w:t>
      </w:r>
      <w:r w:rsidRPr="00FA01AD">
        <w:t xml:space="preserve">At the time </w:t>
      </w:r>
      <w:r w:rsidRPr="001C2B6A">
        <w:t>of the 2016 Census, the local council had a population of 197,376.</w:t>
      </w:r>
      <w:r w:rsidRPr="001C2B6A">
        <w:rPr>
          <w:rStyle w:val="FootnoteReference"/>
          <w:color w:val="000000"/>
        </w:rPr>
        <w:footnoteReference w:id="12"/>
      </w:r>
      <w:r w:rsidRPr="001C2B6A">
        <w:t xml:space="preserve"> </w:t>
      </w:r>
      <w:r w:rsidRPr="001C2B6A">
        <w:rPr>
          <w:color w:val="000000"/>
        </w:rPr>
        <w:t>From 2011–2018, the population is estimated to have grown at an average of 3.5% per annum.</w:t>
      </w:r>
      <w:r w:rsidRPr="001C2B6A">
        <w:rPr>
          <w:rStyle w:val="FootnoteReference"/>
          <w:color w:val="000000"/>
        </w:rPr>
        <w:footnoteReference w:id="13"/>
      </w:r>
      <w:r w:rsidRPr="001C2B6A">
        <w:rPr>
          <w:color w:val="000000"/>
        </w:rPr>
        <w:t xml:space="preserve"> The population is expected to continue growing at an average rate of 2.4% per annum from</w:t>
      </w:r>
      <w:r w:rsidRPr="00B25FB5">
        <w:rPr>
          <w:color w:val="000000"/>
        </w:rPr>
        <w:t xml:space="preserve"> 2018</w:t>
      </w:r>
      <w:r w:rsidRPr="00B25FB5">
        <w:rPr>
          <w:color w:val="000000"/>
        </w:rPr>
        <w:softHyphen/>
      </w:r>
      <w:r w:rsidRPr="00B25FB5">
        <w:rPr>
          <w:color w:val="000000"/>
        </w:rPr>
        <w:softHyphen/>
        <w:t xml:space="preserve">–2036, </w:t>
      </w:r>
      <w:r w:rsidRPr="00B25FB5">
        <w:rPr>
          <w:color w:val="000000"/>
        </w:rPr>
        <w:lastRenderedPageBreak/>
        <w:t xml:space="preserve">reaching </w:t>
      </w:r>
      <w:r w:rsidRPr="00B25FB5">
        <w:t xml:space="preserve">343,990 </w:t>
      </w:r>
      <w:r w:rsidRPr="00B25FB5">
        <w:rPr>
          <w:color w:val="000000"/>
        </w:rPr>
        <w:t>by 2036.</w:t>
      </w:r>
      <w:r>
        <w:rPr>
          <w:rStyle w:val="FootnoteReference"/>
          <w:color w:val="000000"/>
        </w:rPr>
        <w:footnoteReference w:id="14"/>
      </w:r>
      <w:r w:rsidRPr="00B25FB5">
        <w:rPr>
          <w:color w:val="000000"/>
        </w:rPr>
        <w:t xml:space="preserve"> This rate of growth is higher than the overall growth rate of 1.9% per annum expected for Greater Melbourne over the 2018–2036 period.</w:t>
      </w:r>
      <w:r w:rsidRPr="00B25FB5">
        <w:rPr>
          <w:rStyle w:val="FootnoteReference"/>
          <w:color w:val="000000"/>
        </w:rPr>
        <w:footnoteReference w:id="15"/>
      </w:r>
    </w:p>
    <w:p w14:paraId="77338D9C" w14:textId="77777777" w:rsidR="00FA0E61" w:rsidRPr="00FA01AD" w:rsidRDefault="00FA0E61" w:rsidP="00FA0E61">
      <w:pPr>
        <w:pStyle w:val="BodyText"/>
      </w:pPr>
      <w:r>
        <w:t>Uneven levels of growth are occurring across the local council area. M</w:t>
      </w:r>
      <w:r w:rsidRPr="00FA01AD">
        <w:t>ost of the population resid</w:t>
      </w:r>
      <w:r>
        <w:t>es</w:t>
      </w:r>
      <w:r w:rsidRPr="00FA01AD">
        <w:t xml:space="preserve"> within the Urban Growth Boundary</w:t>
      </w:r>
      <w:r>
        <w:t xml:space="preserve"> and h</w:t>
      </w:r>
      <w:r w:rsidRPr="00FA01AD">
        <w:t>igher population growth is expected in areas with new residential developments</w:t>
      </w:r>
      <w:r>
        <w:t>. T</w:t>
      </w:r>
      <w:r w:rsidRPr="00FA01AD">
        <w:t xml:space="preserve">he greatest rates of growth </w:t>
      </w:r>
      <w:r>
        <w:t xml:space="preserve">are </w:t>
      </w:r>
      <w:r w:rsidRPr="00FA01AD">
        <w:t>expected within Kalkallo and Mickleham in the</w:t>
      </w:r>
      <w:r>
        <w:t xml:space="preserve"> </w:t>
      </w:r>
      <w:r w:rsidRPr="00FA01AD">
        <w:t xml:space="preserve">north-east of the local council. Slower growth and in some cases population decline is expected for established suburbs in the south of the local council and </w:t>
      </w:r>
      <w:r>
        <w:t xml:space="preserve">for </w:t>
      </w:r>
      <w:r w:rsidRPr="00FA01AD">
        <w:t>rural areas outside of the Urban Growth Boundary.</w:t>
      </w:r>
      <w:r w:rsidRPr="00BF7F73">
        <w:rPr>
          <w:rStyle w:val="FootnoteReference"/>
        </w:rPr>
        <w:footnoteReference w:id="16"/>
      </w:r>
      <w:r w:rsidRPr="00FA01AD">
        <w:t xml:space="preserve"> </w:t>
      </w:r>
    </w:p>
    <w:p w14:paraId="0FCC89C5" w14:textId="77777777" w:rsidR="00FA0E61" w:rsidRDefault="00FA0E61" w:rsidP="00FA0E61">
      <w:pPr>
        <w:pStyle w:val="BodyText"/>
        <w:rPr>
          <w:b/>
          <w:bCs/>
        </w:rPr>
      </w:pPr>
      <w:r w:rsidRPr="00FA01AD">
        <w:t xml:space="preserve">There are currently an estimated 152,629 registered voters for Hume City Council, with an average of 13,875 voters per councillor.  </w:t>
      </w:r>
    </w:p>
    <w:p w14:paraId="34CDF3DA" w14:textId="77777777" w:rsidR="007E7FE1" w:rsidRPr="00AC3AF4" w:rsidRDefault="007E7FE1" w:rsidP="00F8244B">
      <w:pPr>
        <w:pStyle w:val="Heading2numbered"/>
      </w:pPr>
      <w:bookmarkStart w:id="8" w:name="_Toc37332242"/>
      <w:r w:rsidRPr="00AC3AF4">
        <w:t xml:space="preserve">Current </w:t>
      </w:r>
      <w:r>
        <w:t xml:space="preserve">number of councillors and electoral </w:t>
      </w:r>
      <w:r w:rsidRPr="00AC3AF4">
        <w:t>structure</w:t>
      </w:r>
      <w:bookmarkEnd w:id="8"/>
    </w:p>
    <w:p w14:paraId="5C10CF41" w14:textId="77777777" w:rsidR="00D2396A" w:rsidRPr="00A066F6" w:rsidRDefault="00D2396A" w:rsidP="00D2396A">
      <w:pPr>
        <w:pStyle w:val="BodyText"/>
      </w:pPr>
      <w:r>
        <w:rPr>
          <w:noProof/>
        </w:rPr>
        <w:t>Hume</w:t>
      </w:r>
      <w:r w:rsidRPr="00657000">
        <w:rPr>
          <w:noProof/>
        </w:rPr>
        <w:t xml:space="preserve"> City Council</w:t>
      </w:r>
      <w:r w:rsidRPr="00657000">
        <w:t xml:space="preserve"> currently comprises </w:t>
      </w:r>
      <w:r>
        <w:t>11</w:t>
      </w:r>
      <w:r w:rsidRPr="00657000">
        <w:t xml:space="preserve"> councillors elected from three wards </w:t>
      </w:r>
      <w:r>
        <w:br/>
      </w:r>
      <w:r w:rsidRPr="00657000">
        <w:t>(one three-councillor ward and two four-councillor wards).</w:t>
      </w:r>
      <w:r>
        <w:t xml:space="preserve"> </w:t>
      </w:r>
      <w:r w:rsidRPr="00DC3747">
        <w:t>Prior to the</w:t>
      </w:r>
      <w:r>
        <w:t xml:space="preserve"> last</w:t>
      </w:r>
      <w:r w:rsidRPr="00DC3747">
        <w:t xml:space="preserve"> representation review in </w:t>
      </w:r>
      <w:r>
        <w:t>2012</w:t>
      </w:r>
      <w:r w:rsidRPr="00DC3747">
        <w:t xml:space="preserve">, </w:t>
      </w:r>
      <w:r>
        <w:rPr>
          <w:noProof/>
        </w:rPr>
        <w:t>Hume</w:t>
      </w:r>
      <w:r w:rsidRPr="00657000">
        <w:rPr>
          <w:noProof/>
        </w:rPr>
        <w:t xml:space="preserve"> City Council</w:t>
      </w:r>
      <w:r w:rsidRPr="00657000">
        <w:t xml:space="preserve"> </w:t>
      </w:r>
      <w:r w:rsidRPr="00DC3747">
        <w:t xml:space="preserve">was comprised of </w:t>
      </w:r>
      <w:r>
        <w:t>nine</w:t>
      </w:r>
      <w:r w:rsidRPr="00DC3747">
        <w:t xml:space="preserve"> councillors elected from</w:t>
      </w:r>
      <w:r>
        <w:t xml:space="preserve"> four wards (one three-councillor ward and three two-coun</w:t>
      </w:r>
      <w:r w:rsidRPr="00A066F6">
        <w:t>cillor wards</w:t>
      </w:r>
      <w:r>
        <w:t>)</w:t>
      </w:r>
      <w:r w:rsidRPr="00A066F6">
        <w:t xml:space="preserve">. </w:t>
      </w:r>
    </w:p>
    <w:p w14:paraId="0BEBE162" w14:textId="77777777" w:rsidR="00D2396A" w:rsidRDefault="00D2396A" w:rsidP="00D2396A">
      <w:pPr>
        <w:pStyle w:val="BodyText"/>
      </w:pPr>
      <w:r w:rsidRPr="00AC3AF4">
        <w:t xml:space="preserve">Diagram 1 </w:t>
      </w:r>
      <w:r>
        <w:t>(o</w:t>
      </w:r>
      <w:r w:rsidR="00F67BAC">
        <w:t>n the next page</w:t>
      </w:r>
      <w:r>
        <w:t xml:space="preserve">) </w:t>
      </w:r>
      <w:r w:rsidRPr="00AC3AF4">
        <w:t xml:space="preserve">illustrates </w:t>
      </w:r>
      <w:r w:rsidRPr="00A066F6">
        <w:t xml:space="preserve">the current electoral structure and voter statistics </w:t>
      </w:r>
      <w:r w:rsidRPr="00AC3AF4">
        <w:t xml:space="preserve">by ward as at </w:t>
      </w:r>
      <w:r>
        <w:t>15 October 2019</w:t>
      </w:r>
      <w:r w:rsidRPr="00AC3AF4">
        <w:t>.</w:t>
      </w:r>
    </w:p>
    <w:p w14:paraId="73322E3C" w14:textId="77777777" w:rsidR="005D05B8" w:rsidRDefault="005D05B8" w:rsidP="00D2396A">
      <w:pPr>
        <w:pStyle w:val="BodyText"/>
      </w:pPr>
    </w:p>
    <w:p w14:paraId="6724B87E" w14:textId="77777777" w:rsidR="005D05B8" w:rsidRDefault="005D05B8" w:rsidP="00D2396A">
      <w:pPr>
        <w:pStyle w:val="BodyText"/>
      </w:pPr>
    </w:p>
    <w:p w14:paraId="06C6ADFE" w14:textId="77777777" w:rsidR="005D05B8" w:rsidRDefault="005D05B8" w:rsidP="00D2396A">
      <w:pPr>
        <w:pStyle w:val="BodyText"/>
      </w:pPr>
    </w:p>
    <w:p w14:paraId="0F0D9230" w14:textId="77777777" w:rsidR="005D05B8" w:rsidRDefault="00D2396A" w:rsidP="00D2396A">
      <w:pPr>
        <w:pStyle w:val="BodyText"/>
        <w:rPr>
          <w:highlight w:val="yellow"/>
        </w:rPr>
      </w:pPr>
      <w:r>
        <w:rPr>
          <w:noProof/>
        </w:rPr>
        <w:lastRenderedPageBreak/>
        <w:drawing>
          <wp:inline distT="0" distB="0" distL="0" distR="0" wp14:anchorId="5501C34D" wp14:editId="3FAE43CE">
            <wp:extent cx="6039293" cy="44226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9293" cy="4422614"/>
                    </a:xfrm>
                    <a:prstGeom prst="rect">
                      <a:avLst/>
                    </a:prstGeom>
                    <a:noFill/>
                    <a:ln>
                      <a:noFill/>
                    </a:ln>
                  </pic:spPr>
                </pic:pic>
              </a:graphicData>
            </a:graphic>
          </wp:inline>
        </w:drawing>
      </w:r>
    </w:p>
    <w:p w14:paraId="16ADF5A9" w14:textId="77777777" w:rsidR="00D2396A" w:rsidRDefault="00D2396A" w:rsidP="00D2396A">
      <w:pPr>
        <w:pStyle w:val="DiagramCaption"/>
      </w:pPr>
      <w:r w:rsidRPr="00E36715">
        <w:t xml:space="preserve">Diagram 1: </w:t>
      </w:r>
      <w:r w:rsidRPr="00E36715">
        <w:rPr>
          <w:noProof/>
        </w:rPr>
        <w:t>Hume City Council</w:t>
      </w:r>
      <w:r w:rsidRPr="00E36715">
        <w:t xml:space="preserve"> electoral structure and voter statistics.</w:t>
      </w:r>
    </w:p>
    <w:p w14:paraId="2AB60D0B" w14:textId="77777777" w:rsidR="005D05B8" w:rsidRDefault="005D05B8">
      <w:pPr>
        <w:rPr>
          <w:rFonts w:ascii="Century Gothic" w:hAnsi="Century Gothic"/>
          <w:b/>
          <w:i/>
        </w:rPr>
      </w:pPr>
      <w:r>
        <w:br w:type="page"/>
      </w:r>
    </w:p>
    <w:p w14:paraId="251F1EC3" w14:textId="77777777" w:rsidR="007E7FE1" w:rsidRDefault="007E7FE1" w:rsidP="00FD162F">
      <w:pPr>
        <w:pStyle w:val="Heading1numbered"/>
        <w:rPr>
          <w:noProof/>
        </w:rPr>
      </w:pPr>
      <w:bookmarkStart w:id="9" w:name="_Toc37332243"/>
      <w:r w:rsidRPr="00AC3AF4">
        <w:rPr>
          <w:noProof/>
        </w:rPr>
        <w:lastRenderedPageBreak/>
        <w:t xml:space="preserve">Current </w:t>
      </w:r>
      <w:r>
        <w:rPr>
          <w:noProof/>
        </w:rPr>
        <w:t>subdivision review</w:t>
      </w:r>
      <w:bookmarkEnd w:id="9"/>
      <w:r>
        <w:rPr>
          <w:noProof/>
        </w:rPr>
        <w:t xml:space="preserve"> </w:t>
      </w:r>
    </w:p>
    <w:p w14:paraId="35EBE86C" w14:textId="77777777" w:rsidR="009C288E" w:rsidRPr="00AC3AF4" w:rsidRDefault="009C288E" w:rsidP="00AC473D">
      <w:pPr>
        <w:pStyle w:val="BodyText"/>
      </w:pPr>
      <w:r w:rsidRPr="00AC4497">
        <w:t xml:space="preserve">The current subdivision review of </w:t>
      </w:r>
      <w:r w:rsidRPr="00AC4497">
        <w:rPr>
          <w:noProof/>
        </w:rPr>
        <w:t>Hume City Council</w:t>
      </w:r>
      <w:r w:rsidRPr="00AC4497">
        <w:t xml:space="preserve"> is required due to the voter-to-councillor ratios in all wards being more than 10% above or below the average voter-to-councillor ratio for the local council. Consequently, all ward</w:t>
      </w:r>
      <w:r>
        <w:t xml:space="preserve"> boundaries will need to be adjusted </w:t>
      </w:r>
      <w:r w:rsidRPr="00AC3AF4">
        <w:t>so that ward enrolment</w:t>
      </w:r>
      <w:r>
        <w:t>s</w:t>
      </w:r>
      <w:r w:rsidRPr="00AC3AF4">
        <w:t xml:space="preserve"> will be within the 10% tolerance at the 2020 general election.</w:t>
      </w:r>
    </w:p>
    <w:p w14:paraId="364038F3" w14:textId="77777777" w:rsidR="000A326A" w:rsidRDefault="009C288E" w:rsidP="005D05B8">
      <w:pPr>
        <w:pStyle w:val="BodyText"/>
      </w:pPr>
      <w:r w:rsidRPr="001527D7">
        <w:t>Table 1</w:t>
      </w:r>
      <w:r w:rsidR="000A326A">
        <w:t xml:space="preserve"> </w:t>
      </w:r>
      <w:r w:rsidRPr="001527D7">
        <w:t>shows the number of voters in each ward as at 15 October 2019, ranked</w:t>
      </w:r>
      <w:r w:rsidRPr="00AC3AF4">
        <w:t xml:space="preserve"> by the percentage this deviates from the average number of voters per councillor for the whole local council.</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7E7FE1" w:rsidRPr="00AC3AF4" w14:paraId="11CB0B00" w14:textId="77777777" w:rsidTr="00F8244B">
        <w:trPr>
          <w:cantSplit/>
          <w:trHeight w:val="289"/>
          <w:jc w:val="center"/>
        </w:trPr>
        <w:tc>
          <w:tcPr>
            <w:tcW w:w="8673" w:type="dxa"/>
            <w:gridSpan w:val="4"/>
            <w:tcBorders>
              <w:top w:val="single" w:sz="8" w:space="0" w:color="auto"/>
              <w:left w:val="nil"/>
              <w:bottom w:val="single" w:sz="8" w:space="0" w:color="auto"/>
              <w:right w:val="nil"/>
            </w:tcBorders>
          </w:tcPr>
          <w:p w14:paraId="58D58137" w14:textId="77777777" w:rsidR="007E7FE1" w:rsidRPr="00AC3AF4" w:rsidRDefault="007E7FE1" w:rsidP="00F8244B">
            <w:pPr>
              <w:pStyle w:val="Tableheading"/>
            </w:pPr>
            <w:r w:rsidRPr="00AC3AF4">
              <w:t>Table 1: Voter numbers per ward</w:t>
            </w:r>
          </w:p>
        </w:tc>
      </w:tr>
      <w:tr w:rsidR="007E7FE1" w:rsidRPr="00AC3AF4" w14:paraId="51042FB9" w14:textId="77777777" w:rsidTr="00F8244B">
        <w:trPr>
          <w:cantSplit/>
          <w:trHeight w:val="60"/>
          <w:jc w:val="center"/>
        </w:trPr>
        <w:tc>
          <w:tcPr>
            <w:tcW w:w="3583" w:type="dxa"/>
            <w:tcBorders>
              <w:top w:val="nil"/>
              <w:left w:val="nil"/>
              <w:bottom w:val="nil"/>
              <w:right w:val="nil"/>
              <w:tl2br w:val="nil"/>
              <w:tr2bl w:val="nil"/>
            </w:tcBorders>
            <w:shd w:val="clear" w:color="auto" w:fill="E5EEE1"/>
            <w:vAlign w:val="center"/>
          </w:tcPr>
          <w:p w14:paraId="3571C7AE" w14:textId="77777777" w:rsidR="007E7FE1" w:rsidRPr="00AC3AF4" w:rsidRDefault="007E7FE1" w:rsidP="00F8244B">
            <w:pPr>
              <w:spacing w:before="40" w:after="40"/>
              <w:rPr>
                <w:rFonts w:ascii="Century Gothic" w:hAnsi="Century Gothic"/>
                <w:b/>
              </w:rPr>
            </w:pPr>
            <w:r w:rsidRPr="00AC3AF4">
              <w:rPr>
                <w:rFonts w:ascii="Century Gothic" w:hAnsi="Century Gothic"/>
                <w:b/>
              </w:rPr>
              <w:t>Ward</w:t>
            </w:r>
          </w:p>
        </w:tc>
        <w:tc>
          <w:tcPr>
            <w:tcW w:w="1696" w:type="dxa"/>
            <w:tcBorders>
              <w:top w:val="nil"/>
              <w:left w:val="nil"/>
              <w:bottom w:val="nil"/>
              <w:right w:val="nil"/>
              <w:tl2br w:val="nil"/>
              <w:tr2bl w:val="nil"/>
            </w:tcBorders>
            <w:shd w:val="clear" w:color="auto" w:fill="E5EEE1"/>
          </w:tcPr>
          <w:p w14:paraId="69063F64" w14:textId="77777777" w:rsidR="007E7FE1" w:rsidRPr="00AC3AF4" w:rsidRDefault="007E7FE1" w:rsidP="00F8244B">
            <w:pPr>
              <w:spacing w:before="40" w:after="40"/>
              <w:jc w:val="right"/>
              <w:rPr>
                <w:rFonts w:ascii="Century Gothic" w:hAnsi="Century Gothic"/>
                <w:b/>
              </w:rPr>
            </w:pPr>
            <w:r w:rsidRPr="00AC3AF4">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2FBACFB9" w14:textId="77777777" w:rsidR="007E7FE1" w:rsidRPr="00AC3AF4" w:rsidRDefault="007E7FE1" w:rsidP="00F8244B">
            <w:pPr>
              <w:spacing w:before="40" w:after="40"/>
              <w:jc w:val="right"/>
              <w:rPr>
                <w:rFonts w:ascii="Century Gothic" w:hAnsi="Century Gothic"/>
                <w:b/>
              </w:rPr>
            </w:pPr>
            <w:r w:rsidRPr="00AC3AF4">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2CBFB15E" w14:textId="77777777" w:rsidR="007E7FE1" w:rsidRPr="00AC3AF4" w:rsidRDefault="007E7FE1" w:rsidP="00F8244B">
            <w:pPr>
              <w:spacing w:before="40" w:after="40"/>
              <w:jc w:val="right"/>
              <w:rPr>
                <w:rFonts w:ascii="Century Gothic" w:hAnsi="Century Gothic"/>
                <w:b/>
              </w:rPr>
            </w:pPr>
            <w:r w:rsidRPr="00AC3AF4">
              <w:rPr>
                <w:rFonts w:ascii="Century Gothic" w:hAnsi="Century Gothic"/>
                <w:b/>
              </w:rPr>
              <w:t>Deviation (%)</w:t>
            </w:r>
          </w:p>
        </w:tc>
      </w:tr>
      <w:tr w:rsidR="00403F58" w:rsidRPr="00AC3AF4" w14:paraId="1D53F4CA" w14:textId="77777777" w:rsidTr="00F8244B">
        <w:trPr>
          <w:cantSplit/>
          <w:trHeight w:val="267"/>
          <w:jc w:val="center"/>
        </w:trPr>
        <w:tc>
          <w:tcPr>
            <w:tcW w:w="3583" w:type="dxa"/>
            <w:shd w:val="clear" w:color="auto" w:fill="auto"/>
            <w:vAlign w:val="center"/>
          </w:tcPr>
          <w:p w14:paraId="28A7BE79" w14:textId="77777777" w:rsidR="00403F58" w:rsidRPr="006C59A0" w:rsidRDefault="00403F58" w:rsidP="00403F58">
            <w:pPr>
              <w:spacing w:before="40" w:after="40"/>
              <w:rPr>
                <w:rFonts w:ascii="Century Gothic" w:hAnsi="Century Gothic"/>
              </w:rPr>
            </w:pPr>
            <w:r w:rsidRPr="006C59A0">
              <w:rPr>
                <w:rFonts w:ascii="Century Gothic" w:hAnsi="Century Gothic"/>
              </w:rPr>
              <w:t>Aitken</w:t>
            </w:r>
          </w:p>
        </w:tc>
        <w:tc>
          <w:tcPr>
            <w:tcW w:w="1696" w:type="dxa"/>
          </w:tcPr>
          <w:p w14:paraId="464301DF" w14:textId="77777777" w:rsidR="00403F58" w:rsidRPr="006C59A0" w:rsidRDefault="00403F58" w:rsidP="00403F58">
            <w:pPr>
              <w:spacing w:before="40" w:after="40"/>
              <w:jc w:val="right"/>
              <w:rPr>
                <w:rFonts w:ascii="Century Gothic" w:hAnsi="Century Gothic"/>
              </w:rPr>
            </w:pPr>
            <w:r w:rsidRPr="006C59A0">
              <w:rPr>
                <w:rFonts w:ascii="Century Gothic" w:hAnsi="Century Gothic"/>
              </w:rPr>
              <w:t>4</w:t>
            </w:r>
          </w:p>
        </w:tc>
        <w:tc>
          <w:tcPr>
            <w:tcW w:w="1697" w:type="dxa"/>
            <w:shd w:val="clear" w:color="auto" w:fill="auto"/>
            <w:vAlign w:val="center"/>
          </w:tcPr>
          <w:p w14:paraId="13ABA0A8" w14:textId="77777777" w:rsidR="00403F58" w:rsidRPr="006C59A0" w:rsidRDefault="00403F58" w:rsidP="00403F58">
            <w:pPr>
              <w:spacing w:before="40" w:after="40"/>
              <w:jc w:val="right"/>
              <w:rPr>
                <w:rFonts w:ascii="Century Gothic" w:hAnsi="Century Gothic"/>
              </w:rPr>
            </w:pPr>
            <w:r w:rsidRPr="006C59A0">
              <w:rPr>
                <w:rFonts w:ascii="Century Gothic" w:hAnsi="Century Gothic"/>
              </w:rPr>
              <w:t>67,444</w:t>
            </w:r>
          </w:p>
        </w:tc>
        <w:tc>
          <w:tcPr>
            <w:tcW w:w="1697" w:type="dxa"/>
            <w:shd w:val="clear" w:color="auto" w:fill="auto"/>
            <w:vAlign w:val="center"/>
          </w:tcPr>
          <w:p w14:paraId="3A3EFBF0" w14:textId="77777777" w:rsidR="00403F58" w:rsidRPr="006C59A0" w:rsidRDefault="00403F58" w:rsidP="00403F58">
            <w:pPr>
              <w:spacing w:before="40" w:after="40"/>
              <w:jc w:val="right"/>
              <w:rPr>
                <w:rFonts w:ascii="Century Gothic" w:hAnsi="Century Gothic"/>
              </w:rPr>
            </w:pPr>
            <w:r w:rsidRPr="006C59A0">
              <w:rPr>
                <w:rFonts w:ascii="Century Gothic" w:hAnsi="Century Gothic"/>
              </w:rPr>
              <w:t>+21.5</w:t>
            </w:r>
            <w:r>
              <w:rPr>
                <w:rFonts w:ascii="Century Gothic" w:hAnsi="Century Gothic"/>
              </w:rPr>
              <w:t>2</w:t>
            </w:r>
          </w:p>
        </w:tc>
      </w:tr>
      <w:tr w:rsidR="00403F58" w:rsidRPr="00AC3AF4" w14:paraId="1401AB57" w14:textId="77777777" w:rsidTr="00F8244B">
        <w:trPr>
          <w:cantSplit/>
          <w:trHeight w:val="143"/>
          <w:jc w:val="center"/>
        </w:trPr>
        <w:tc>
          <w:tcPr>
            <w:tcW w:w="3583" w:type="dxa"/>
            <w:tcBorders>
              <w:top w:val="nil"/>
              <w:left w:val="nil"/>
              <w:bottom w:val="nil"/>
              <w:right w:val="nil"/>
              <w:tl2br w:val="nil"/>
              <w:tr2bl w:val="nil"/>
            </w:tcBorders>
            <w:shd w:val="clear" w:color="auto" w:fill="E5EEE1"/>
            <w:vAlign w:val="center"/>
          </w:tcPr>
          <w:p w14:paraId="38E2B19D" w14:textId="77777777" w:rsidR="00403F58" w:rsidRPr="006C59A0" w:rsidRDefault="00403F58" w:rsidP="00403F58">
            <w:pPr>
              <w:spacing w:before="40" w:after="40"/>
              <w:rPr>
                <w:rFonts w:ascii="Century Gothic" w:hAnsi="Century Gothic"/>
              </w:rPr>
            </w:pPr>
            <w:r w:rsidRPr="006C59A0">
              <w:rPr>
                <w:rFonts w:ascii="Century Gothic" w:hAnsi="Century Gothic"/>
              </w:rPr>
              <w:t>Meadow Valley</w:t>
            </w:r>
          </w:p>
        </w:tc>
        <w:tc>
          <w:tcPr>
            <w:tcW w:w="1696" w:type="dxa"/>
            <w:tcBorders>
              <w:top w:val="nil"/>
              <w:left w:val="nil"/>
              <w:bottom w:val="nil"/>
              <w:right w:val="nil"/>
              <w:tl2br w:val="nil"/>
              <w:tr2bl w:val="nil"/>
            </w:tcBorders>
            <w:shd w:val="clear" w:color="auto" w:fill="E5EEE1"/>
          </w:tcPr>
          <w:p w14:paraId="6BC4B1C5" w14:textId="77777777" w:rsidR="00403F58" w:rsidRPr="006C59A0" w:rsidRDefault="00403F58" w:rsidP="00403F58">
            <w:pPr>
              <w:spacing w:before="40" w:after="40"/>
              <w:jc w:val="right"/>
              <w:rPr>
                <w:rFonts w:ascii="Century Gothic" w:hAnsi="Century Gothic"/>
              </w:rPr>
            </w:pPr>
            <w:r w:rsidRPr="006C59A0">
              <w:rPr>
                <w:rFonts w:ascii="Century Gothic" w:hAnsi="Century Gothic"/>
              </w:rPr>
              <w:t>4</w:t>
            </w:r>
          </w:p>
        </w:tc>
        <w:tc>
          <w:tcPr>
            <w:tcW w:w="1697" w:type="dxa"/>
            <w:tcBorders>
              <w:top w:val="nil"/>
              <w:left w:val="nil"/>
              <w:bottom w:val="nil"/>
              <w:right w:val="nil"/>
              <w:tl2br w:val="nil"/>
              <w:tr2bl w:val="nil"/>
            </w:tcBorders>
            <w:shd w:val="clear" w:color="auto" w:fill="E5EEE1"/>
            <w:vAlign w:val="center"/>
          </w:tcPr>
          <w:p w14:paraId="73E4B552" w14:textId="77777777" w:rsidR="00403F58" w:rsidRPr="006C59A0" w:rsidRDefault="00403F58" w:rsidP="00403F58">
            <w:pPr>
              <w:spacing w:before="40" w:after="40"/>
              <w:jc w:val="right"/>
              <w:rPr>
                <w:rFonts w:ascii="Century Gothic" w:hAnsi="Century Gothic"/>
              </w:rPr>
            </w:pPr>
            <w:r w:rsidRPr="006C59A0">
              <w:rPr>
                <w:rFonts w:ascii="Century Gothic" w:hAnsi="Century Gothic"/>
              </w:rPr>
              <w:t>48,178</w:t>
            </w:r>
          </w:p>
        </w:tc>
        <w:tc>
          <w:tcPr>
            <w:tcW w:w="1697" w:type="dxa"/>
            <w:tcBorders>
              <w:top w:val="nil"/>
              <w:left w:val="nil"/>
              <w:bottom w:val="nil"/>
              <w:right w:val="nil"/>
              <w:tl2br w:val="nil"/>
              <w:tr2bl w:val="nil"/>
            </w:tcBorders>
            <w:shd w:val="clear" w:color="auto" w:fill="E5EEE1"/>
            <w:vAlign w:val="center"/>
          </w:tcPr>
          <w:p w14:paraId="280CF437" w14:textId="77777777" w:rsidR="00403F58" w:rsidRPr="006C59A0" w:rsidRDefault="00403F58" w:rsidP="00403F58">
            <w:pPr>
              <w:spacing w:before="40" w:after="40"/>
              <w:jc w:val="right"/>
              <w:rPr>
                <w:rFonts w:ascii="Century Gothic" w:hAnsi="Century Gothic"/>
              </w:rPr>
            </w:pPr>
            <w:r w:rsidRPr="006C59A0">
              <w:rPr>
                <w:rFonts w:ascii="Century Gothic" w:hAnsi="Century Gothic"/>
              </w:rPr>
              <w:t>-13.20</w:t>
            </w:r>
          </w:p>
        </w:tc>
      </w:tr>
      <w:tr w:rsidR="00403F58" w:rsidRPr="00AC3AF4" w14:paraId="6BBF8F00" w14:textId="77777777" w:rsidTr="00F8244B">
        <w:trPr>
          <w:cantSplit/>
          <w:trHeight w:val="80"/>
          <w:jc w:val="center"/>
        </w:trPr>
        <w:tc>
          <w:tcPr>
            <w:tcW w:w="3583" w:type="dxa"/>
            <w:shd w:val="clear" w:color="auto" w:fill="auto"/>
            <w:vAlign w:val="center"/>
          </w:tcPr>
          <w:p w14:paraId="1F16D56A" w14:textId="77777777" w:rsidR="00403F58" w:rsidRPr="006C59A0" w:rsidRDefault="00403F58" w:rsidP="00403F58">
            <w:pPr>
              <w:spacing w:before="40" w:after="40"/>
              <w:rPr>
                <w:rFonts w:ascii="Century Gothic" w:hAnsi="Century Gothic"/>
              </w:rPr>
            </w:pPr>
            <w:r w:rsidRPr="006C59A0">
              <w:rPr>
                <w:rFonts w:ascii="Century Gothic" w:hAnsi="Century Gothic"/>
              </w:rPr>
              <w:t>Jacksons Creek</w:t>
            </w:r>
          </w:p>
        </w:tc>
        <w:tc>
          <w:tcPr>
            <w:tcW w:w="1696" w:type="dxa"/>
          </w:tcPr>
          <w:p w14:paraId="4A060ECF" w14:textId="77777777" w:rsidR="00403F58" w:rsidRPr="006C59A0" w:rsidRDefault="00403F58" w:rsidP="00403F58">
            <w:pPr>
              <w:spacing w:before="40" w:after="40"/>
              <w:jc w:val="right"/>
              <w:rPr>
                <w:rFonts w:ascii="Century Gothic" w:hAnsi="Century Gothic"/>
              </w:rPr>
            </w:pPr>
            <w:r w:rsidRPr="006C59A0">
              <w:rPr>
                <w:rFonts w:ascii="Century Gothic" w:hAnsi="Century Gothic"/>
              </w:rPr>
              <w:t>3</w:t>
            </w:r>
          </w:p>
        </w:tc>
        <w:tc>
          <w:tcPr>
            <w:tcW w:w="1697" w:type="dxa"/>
            <w:shd w:val="clear" w:color="auto" w:fill="auto"/>
            <w:vAlign w:val="center"/>
          </w:tcPr>
          <w:p w14:paraId="65730A17" w14:textId="77777777" w:rsidR="00403F58" w:rsidRPr="006C59A0" w:rsidRDefault="00403F58" w:rsidP="00403F58">
            <w:pPr>
              <w:spacing w:before="40" w:after="40"/>
              <w:jc w:val="right"/>
              <w:rPr>
                <w:rFonts w:ascii="Century Gothic" w:hAnsi="Century Gothic"/>
              </w:rPr>
            </w:pPr>
            <w:r w:rsidRPr="006C59A0">
              <w:rPr>
                <w:rFonts w:ascii="Century Gothic" w:hAnsi="Century Gothic"/>
              </w:rPr>
              <w:t>37,007</w:t>
            </w:r>
          </w:p>
        </w:tc>
        <w:tc>
          <w:tcPr>
            <w:tcW w:w="1697" w:type="dxa"/>
            <w:shd w:val="clear" w:color="auto" w:fill="auto"/>
            <w:vAlign w:val="center"/>
          </w:tcPr>
          <w:p w14:paraId="09570DF8" w14:textId="77777777" w:rsidR="00403F58" w:rsidRPr="006C59A0" w:rsidRDefault="00403F58" w:rsidP="00403F58">
            <w:pPr>
              <w:spacing w:before="40" w:after="40"/>
              <w:jc w:val="right"/>
              <w:rPr>
                <w:rFonts w:ascii="Century Gothic" w:hAnsi="Century Gothic"/>
              </w:rPr>
            </w:pPr>
            <w:r w:rsidRPr="006C59A0">
              <w:rPr>
                <w:rFonts w:ascii="Century Gothic" w:hAnsi="Century Gothic"/>
              </w:rPr>
              <w:t>-11.10</w:t>
            </w:r>
          </w:p>
        </w:tc>
      </w:tr>
      <w:tr w:rsidR="00403F58" w:rsidRPr="00AC3AF4" w14:paraId="2C7D7CD3" w14:textId="77777777" w:rsidTr="00F8244B">
        <w:trPr>
          <w:cantSplit/>
          <w:trHeight w:val="102"/>
          <w:jc w:val="center"/>
        </w:trPr>
        <w:tc>
          <w:tcPr>
            <w:tcW w:w="3583" w:type="dxa"/>
            <w:shd w:val="clear" w:color="auto" w:fill="E5EEE1"/>
            <w:vAlign w:val="center"/>
          </w:tcPr>
          <w:p w14:paraId="2EDDDDC6" w14:textId="77777777" w:rsidR="00403F58" w:rsidRPr="00AC3AF4" w:rsidRDefault="00403F58" w:rsidP="00403F58">
            <w:pPr>
              <w:spacing w:before="40" w:after="40"/>
              <w:rPr>
                <w:rFonts w:ascii="Century Gothic" w:hAnsi="Century Gothic"/>
                <w:b/>
              </w:rPr>
            </w:pPr>
            <w:r w:rsidRPr="00AC3AF4">
              <w:rPr>
                <w:rFonts w:ascii="Century Gothic" w:hAnsi="Century Gothic"/>
                <w:b/>
              </w:rPr>
              <w:t>Total for council</w:t>
            </w:r>
          </w:p>
        </w:tc>
        <w:tc>
          <w:tcPr>
            <w:tcW w:w="1696" w:type="dxa"/>
            <w:shd w:val="clear" w:color="auto" w:fill="E5EEE1"/>
          </w:tcPr>
          <w:p w14:paraId="1091C8A1" w14:textId="77777777" w:rsidR="00403F58" w:rsidRPr="004E3229" w:rsidRDefault="00403F58" w:rsidP="00403F58">
            <w:pPr>
              <w:spacing w:before="40" w:after="40"/>
              <w:jc w:val="right"/>
              <w:rPr>
                <w:rFonts w:ascii="Century Gothic" w:hAnsi="Century Gothic"/>
                <w:b/>
              </w:rPr>
            </w:pPr>
            <w:r w:rsidRPr="004E3229">
              <w:rPr>
                <w:rFonts w:ascii="Century Gothic" w:hAnsi="Century Gothic"/>
                <w:b/>
              </w:rPr>
              <w:t>11</w:t>
            </w:r>
          </w:p>
        </w:tc>
        <w:tc>
          <w:tcPr>
            <w:tcW w:w="1697" w:type="dxa"/>
            <w:shd w:val="clear" w:color="auto" w:fill="E5EEE1"/>
            <w:vAlign w:val="center"/>
          </w:tcPr>
          <w:p w14:paraId="43CA77D8" w14:textId="77777777" w:rsidR="00403F58" w:rsidRPr="004E3229" w:rsidRDefault="00403F58" w:rsidP="00403F58">
            <w:pPr>
              <w:spacing w:before="40" w:after="40"/>
              <w:jc w:val="right"/>
              <w:rPr>
                <w:rFonts w:ascii="Century Gothic" w:hAnsi="Century Gothic"/>
                <w:b/>
              </w:rPr>
            </w:pPr>
            <w:r w:rsidRPr="004E3229">
              <w:rPr>
                <w:rFonts w:ascii="Century Gothic" w:hAnsi="Century Gothic"/>
                <w:b/>
              </w:rPr>
              <w:t>152,629</w:t>
            </w:r>
          </w:p>
        </w:tc>
        <w:tc>
          <w:tcPr>
            <w:tcW w:w="1697" w:type="dxa"/>
            <w:shd w:val="clear" w:color="auto" w:fill="E5EEE1"/>
            <w:vAlign w:val="center"/>
          </w:tcPr>
          <w:p w14:paraId="49646B84" w14:textId="77777777" w:rsidR="00403F58" w:rsidRPr="00AC3AF4" w:rsidRDefault="00403F58" w:rsidP="00403F58">
            <w:pPr>
              <w:spacing w:before="40" w:after="40"/>
              <w:jc w:val="right"/>
              <w:rPr>
                <w:rFonts w:ascii="Century Gothic" w:hAnsi="Century Gothic"/>
                <w:highlight w:val="yellow"/>
              </w:rPr>
            </w:pPr>
          </w:p>
        </w:tc>
      </w:tr>
    </w:tbl>
    <w:p w14:paraId="652A6445" w14:textId="77777777" w:rsidR="000A326A" w:rsidRDefault="000A326A" w:rsidP="000A326A">
      <w:pPr>
        <w:pStyle w:val="BodyText"/>
      </w:pPr>
    </w:p>
    <w:p w14:paraId="26559F0F" w14:textId="77777777" w:rsidR="007E7FE1" w:rsidRPr="00AC5FFA" w:rsidRDefault="007E7FE1" w:rsidP="002518F6">
      <w:pPr>
        <w:pStyle w:val="Heading2numbered"/>
      </w:pPr>
      <w:bookmarkStart w:id="10" w:name="_Toc37332244"/>
      <w:r w:rsidRPr="00AC5FFA">
        <w:t>Preliminary report</w:t>
      </w:r>
      <w:bookmarkEnd w:id="10"/>
    </w:p>
    <w:p w14:paraId="3DC3BCD2" w14:textId="77777777" w:rsidR="007E7FE1" w:rsidRDefault="007E7FE1" w:rsidP="002518F6">
      <w:pPr>
        <w:pStyle w:val="BodyText"/>
      </w:pPr>
      <w:r>
        <w:t xml:space="preserve">The </w:t>
      </w:r>
      <w:r w:rsidRPr="00E5451F">
        <w:t xml:space="preserve">VEC’s subdivision review of </w:t>
      </w:r>
      <w:r w:rsidRPr="00E5451F">
        <w:rPr>
          <w:noProof/>
        </w:rPr>
        <w:t>Hume City Council</w:t>
      </w:r>
      <w:r w:rsidRPr="00E5451F">
        <w:t xml:space="preserve"> commenced with the release of a preliminary report on </w:t>
      </w:r>
      <w:r w:rsidRPr="00E5451F">
        <w:rPr>
          <w:noProof/>
        </w:rPr>
        <w:t>Wednesday 26 February 2020</w:t>
      </w:r>
      <w:r w:rsidRPr="00E5451F">
        <w:t>. The</w:t>
      </w:r>
      <w:r>
        <w:t xml:space="preserve"> report contained proposed ward boundary changes based on analysis of enrolment information and internal research. </w:t>
      </w:r>
    </w:p>
    <w:p w14:paraId="192F8AE0" w14:textId="0F952B59" w:rsidR="00893DBE" w:rsidRPr="00114A3D" w:rsidRDefault="00893DBE" w:rsidP="00893DBE">
      <w:pPr>
        <w:pStyle w:val="BodyText"/>
      </w:pPr>
      <w:r w:rsidRPr="000D0583">
        <w:t>The main aim of</w:t>
      </w:r>
      <w:r>
        <w:t xml:space="preserve"> this subdivision review</w:t>
      </w:r>
      <w:r w:rsidRPr="000D0583">
        <w:t xml:space="preserve"> </w:t>
      </w:r>
      <w:r>
        <w:t>was to devise</w:t>
      </w:r>
      <w:r w:rsidR="008929B0">
        <w:t xml:space="preserve"> </w:t>
      </w:r>
      <w:r>
        <w:t xml:space="preserve">ward boundary </w:t>
      </w:r>
      <w:r w:rsidRPr="000D0583">
        <w:t>adjustment</w:t>
      </w:r>
      <w:r w:rsidR="008929B0">
        <w:t>s</w:t>
      </w:r>
      <w:r w:rsidRPr="000D0583">
        <w:t xml:space="preserve"> </w:t>
      </w:r>
      <w:r>
        <w:t xml:space="preserve">that would </w:t>
      </w:r>
      <w:r w:rsidRPr="000D0583">
        <w:t xml:space="preserve">ensure that voter-to-councillor ratios for all wards </w:t>
      </w:r>
      <w:r>
        <w:t>were</w:t>
      </w:r>
      <w:r w:rsidRPr="000D0583">
        <w:t xml:space="preserve"> within the legislated plus-or-minus 10% tolerance at the time of the 2020 local government </w:t>
      </w:r>
      <w:r w:rsidR="00061135">
        <w:t xml:space="preserve">general </w:t>
      </w:r>
      <w:r w:rsidRPr="000D0583">
        <w:t>elections.</w:t>
      </w:r>
      <w:r>
        <w:t xml:space="preserve"> More substantial changes to the electoral structure of </w:t>
      </w:r>
      <w:r w:rsidR="0020726E">
        <w:rPr>
          <w:noProof/>
        </w:rPr>
        <w:t>Hume</w:t>
      </w:r>
      <w:r w:rsidRPr="00AD4DDE">
        <w:rPr>
          <w:noProof/>
        </w:rPr>
        <w:t xml:space="preserve"> City Council</w:t>
      </w:r>
      <w:r w:rsidRPr="00AD4DDE">
        <w:t xml:space="preserve"> </w:t>
      </w:r>
      <w:r>
        <w:t xml:space="preserve">may </w:t>
      </w:r>
      <w:r w:rsidR="005F529C">
        <w:t xml:space="preserve">occur through the new process to be established under the </w:t>
      </w:r>
      <w:r w:rsidR="005F529C">
        <w:rPr>
          <w:i/>
          <w:iCs/>
        </w:rPr>
        <w:t>Local Government Act 2020</w:t>
      </w:r>
      <w:r w:rsidR="005F529C">
        <w:t xml:space="preserve">. </w:t>
      </w:r>
    </w:p>
    <w:p w14:paraId="4FEF6AE5" w14:textId="77777777" w:rsidR="00577E89" w:rsidRPr="00114A3D" w:rsidRDefault="00FD7534" w:rsidP="00577E89">
      <w:pPr>
        <w:pStyle w:val="BodyText"/>
      </w:pPr>
      <w:r w:rsidRPr="00114A3D">
        <w:t xml:space="preserve">In the preliminary report, the VEC proposed </w:t>
      </w:r>
      <w:r w:rsidR="00577E89" w:rsidRPr="00114A3D">
        <w:t>to move the ward boundary between Meadow Valley and Aitken Wards, so that part of Roxburgh Park and all of the area east of the Craigieburn Railway Line and south of Craigieburn Road East (comprising Campbellfield, Somerton and part of Craigieburn) would be within Meadow Valley Ward. The</w:t>
      </w:r>
      <w:r w:rsidR="00B802DC" w:rsidRPr="00114A3D">
        <w:t xml:space="preserve"> proposed</w:t>
      </w:r>
      <w:r w:rsidR="00577E89" w:rsidRPr="00114A3D">
        <w:t xml:space="preserve"> Meadow Valley-Aitken Ward boundary would follow, from west to </w:t>
      </w:r>
      <w:r w:rsidR="00577E89" w:rsidRPr="00114A3D">
        <w:lastRenderedPageBreak/>
        <w:t>east: Somerton Road, transmission line (following Aitken Avenue, Pinnock Reserve, Kirwan Park Reserve), the Craigieburn Railway Line and Craigieburn Road East.</w:t>
      </w:r>
    </w:p>
    <w:p w14:paraId="2EE4C3E3" w14:textId="77777777" w:rsidR="00577E89" w:rsidRPr="00114A3D" w:rsidRDefault="00577E89" w:rsidP="00577E89">
      <w:pPr>
        <w:pStyle w:val="BodyText"/>
      </w:pPr>
      <w:r w:rsidRPr="00114A3D">
        <w:t>The VEC also propose</w:t>
      </w:r>
      <w:r w:rsidR="005A64A8" w:rsidRPr="00114A3D">
        <w:t>d to</w:t>
      </w:r>
      <w:r w:rsidRPr="00114A3D">
        <w:t xml:space="preserve"> mov</w:t>
      </w:r>
      <w:r w:rsidR="0017536D" w:rsidRPr="00114A3D">
        <w:t>e</w:t>
      </w:r>
      <w:r w:rsidRPr="00114A3D">
        <w:t xml:space="preserve"> the ward boundary between Meadow Valley and Jacksons Creek Wards, so that the sections of Attwood and Westmeadows located to the west of Mickleham Road would be within Jacksons Creek Ward. The </w:t>
      </w:r>
      <w:r w:rsidR="00114A3D" w:rsidRPr="00114A3D">
        <w:t xml:space="preserve">proposed </w:t>
      </w:r>
      <w:r w:rsidRPr="00114A3D">
        <w:t>Meadow Valley-Jacksons Creek Ward boundary would instead follow, from north to south: Oaklands Road, Greenvale locality boundary, Moonee Ponds Creek, Attwood locality boundary, Mickleham Road and the Tullamarine Freeway.</w:t>
      </w:r>
    </w:p>
    <w:p w14:paraId="193B9623" w14:textId="77777777" w:rsidR="00826D2C" w:rsidRPr="00A474DC" w:rsidRDefault="00826D2C" w:rsidP="00826D2C">
      <w:pPr>
        <w:pStyle w:val="BodyText"/>
      </w:pPr>
      <w:r w:rsidRPr="00A474DC">
        <w:t>Based on current enrolments, the proposed boundary changes would impact 12,472 voters (8.2% of current enrolment).</w:t>
      </w:r>
    </w:p>
    <w:p w14:paraId="1DFB78CF" w14:textId="77777777" w:rsidR="00893DBE" w:rsidRPr="002337B0" w:rsidRDefault="00893DBE" w:rsidP="006B4621">
      <w:pPr>
        <w:pStyle w:val="BodyText"/>
      </w:pPr>
      <w:r w:rsidRPr="001956AB">
        <w:t xml:space="preserve">Table 2 details the number of voters in each ward as a result of the proposed boundary change. </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7E7FE1" w:rsidRPr="00AC3AF4" w14:paraId="354461C6" w14:textId="77777777" w:rsidTr="00FE17EB">
        <w:trPr>
          <w:cantSplit/>
          <w:trHeight w:val="289"/>
          <w:jc w:val="center"/>
        </w:trPr>
        <w:tc>
          <w:tcPr>
            <w:tcW w:w="8673" w:type="dxa"/>
            <w:gridSpan w:val="4"/>
            <w:tcBorders>
              <w:top w:val="single" w:sz="8" w:space="0" w:color="auto"/>
              <w:left w:val="nil"/>
              <w:bottom w:val="single" w:sz="8" w:space="0" w:color="auto"/>
              <w:right w:val="nil"/>
            </w:tcBorders>
          </w:tcPr>
          <w:p w14:paraId="53566A99" w14:textId="77777777" w:rsidR="007E7FE1" w:rsidRPr="00AC3AF4" w:rsidRDefault="007E7FE1" w:rsidP="00FE17EB">
            <w:pPr>
              <w:pStyle w:val="Tableheading"/>
            </w:pPr>
            <w:r w:rsidRPr="00AC3AF4">
              <w:t xml:space="preserve">Table 2: Voter numbers per ward </w:t>
            </w:r>
            <w:r>
              <w:t xml:space="preserve">with </w:t>
            </w:r>
            <w:r w:rsidRPr="00AC3AF4">
              <w:t xml:space="preserve">proposed </w:t>
            </w:r>
            <w:r>
              <w:t>boundaries</w:t>
            </w:r>
          </w:p>
        </w:tc>
      </w:tr>
      <w:tr w:rsidR="007E7FE1" w:rsidRPr="00AC3AF4" w14:paraId="10BD0E88" w14:textId="77777777" w:rsidTr="00FE17EB">
        <w:trPr>
          <w:cantSplit/>
          <w:trHeight w:val="60"/>
          <w:jc w:val="center"/>
        </w:trPr>
        <w:tc>
          <w:tcPr>
            <w:tcW w:w="3583" w:type="dxa"/>
            <w:tcBorders>
              <w:top w:val="nil"/>
              <w:left w:val="nil"/>
              <w:bottom w:val="nil"/>
              <w:right w:val="nil"/>
              <w:tl2br w:val="nil"/>
              <w:tr2bl w:val="nil"/>
            </w:tcBorders>
            <w:shd w:val="clear" w:color="auto" w:fill="E5EEE1"/>
            <w:vAlign w:val="center"/>
          </w:tcPr>
          <w:p w14:paraId="1B67BBE1" w14:textId="77777777" w:rsidR="007E7FE1" w:rsidRPr="00AC3AF4" w:rsidRDefault="007E7FE1" w:rsidP="00FE17EB">
            <w:pPr>
              <w:spacing w:before="40" w:after="40"/>
              <w:rPr>
                <w:rFonts w:ascii="Century Gothic" w:hAnsi="Century Gothic"/>
                <w:b/>
              </w:rPr>
            </w:pPr>
            <w:r w:rsidRPr="00AC3AF4">
              <w:rPr>
                <w:rFonts w:ascii="Century Gothic" w:hAnsi="Century Gothic"/>
                <w:b/>
              </w:rPr>
              <w:t>Ward</w:t>
            </w:r>
          </w:p>
        </w:tc>
        <w:tc>
          <w:tcPr>
            <w:tcW w:w="1696" w:type="dxa"/>
            <w:tcBorders>
              <w:top w:val="nil"/>
              <w:left w:val="nil"/>
              <w:bottom w:val="nil"/>
              <w:right w:val="nil"/>
              <w:tl2br w:val="nil"/>
              <w:tr2bl w:val="nil"/>
            </w:tcBorders>
            <w:shd w:val="clear" w:color="auto" w:fill="E5EEE1"/>
          </w:tcPr>
          <w:p w14:paraId="759F5D22" w14:textId="77777777" w:rsidR="007E7FE1" w:rsidRPr="00AC3AF4" w:rsidRDefault="007E7FE1" w:rsidP="00FE17EB">
            <w:pPr>
              <w:spacing w:before="40" w:after="40"/>
              <w:jc w:val="right"/>
              <w:rPr>
                <w:rFonts w:ascii="Century Gothic" w:hAnsi="Century Gothic"/>
                <w:b/>
              </w:rPr>
            </w:pPr>
            <w:r w:rsidRPr="00AC3AF4">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7DC4DC9B" w14:textId="77777777" w:rsidR="007E7FE1" w:rsidRPr="00AC3AF4" w:rsidRDefault="007E7FE1" w:rsidP="00FE17EB">
            <w:pPr>
              <w:spacing w:before="40" w:after="40"/>
              <w:jc w:val="right"/>
              <w:rPr>
                <w:rFonts w:ascii="Century Gothic" w:hAnsi="Century Gothic"/>
                <w:b/>
              </w:rPr>
            </w:pPr>
            <w:r w:rsidRPr="00AC3AF4">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04501EDF" w14:textId="77777777" w:rsidR="007E7FE1" w:rsidRPr="00AC3AF4" w:rsidRDefault="007E7FE1" w:rsidP="00FE17EB">
            <w:pPr>
              <w:spacing w:before="40" w:after="40"/>
              <w:jc w:val="right"/>
              <w:rPr>
                <w:rFonts w:ascii="Century Gothic" w:hAnsi="Century Gothic"/>
                <w:b/>
              </w:rPr>
            </w:pPr>
            <w:r w:rsidRPr="00AC3AF4">
              <w:rPr>
                <w:rFonts w:ascii="Century Gothic" w:hAnsi="Century Gothic"/>
                <w:b/>
              </w:rPr>
              <w:t>Deviation (%)</w:t>
            </w:r>
          </w:p>
        </w:tc>
      </w:tr>
      <w:tr w:rsidR="00DB65CB" w:rsidRPr="00AC3AF4" w14:paraId="5B21EE30" w14:textId="77777777" w:rsidTr="00FE17EB">
        <w:trPr>
          <w:cantSplit/>
          <w:trHeight w:val="267"/>
          <w:jc w:val="center"/>
        </w:trPr>
        <w:tc>
          <w:tcPr>
            <w:tcW w:w="3583" w:type="dxa"/>
            <w:shd w:val="clear" w:color="auto" w:fill="auto"/>
            <w:vAlign w:val="center"/>
          </w:tcPr>
          <w:p w14:paraId="3FE32FC1" w14:textId="77777777" w:rsidR="00DB65CB" w:rsidRPr="00C21E24" w:rsidRDefault="00DB65CB" w:rsidP="00DB65CB">
            <w:pPr>
              <w:spacing w:before="40" w:after="40"/>
              <w:rPr>
                <w:rFonts w:ascii="Century Gothic" w:hAnsi="Century Gothic"/>
              </w:rPr>
            </w:pPr>
            <w:r w:rsidRPr="00C21E24">
              <w:rPr>
                <w:rFonts w:ascii="Century Gothic" w:hAnsi="Century Gothic"/>
              </w:rPr>
              <w:t>Aitken</w:t>
            </w:r>
          </w:p>
        </w:tc>
        <w:tc>
          <w:tcPr>
            <w:tcW w:w="1696" w:type="dxa"/>
          </w:tcPr>
          <w:p w14:paraId="09ABC95F" w14:textId="77777777" w:rsidR="00DB65CB" w:rsidRPr="00C21E24" w:rsidRDefault="00DB65CB" w:rsidP="00DB65CB">
            <w:pPr>
              <w:spacing w:before="40" w:after="40"/>
              <w:jc w:val="right"/>
              <w:rPr>
                <w:rFonts w:ascii="Century Gothic" w:hAnsi="Century Gothic"/>
              </w:rPr>
            </w:pPr>
            <w:r w:rsidRPr="00C21E24">
              <w:rPr>
                <w:rFonts w:ascii="Century Gothic" w:hAnsi="Century Gothic"/>
              </w:rPr>
              <w:t>4</w:t>
            </w:r>
          </w:p>
        </w:tc>
        <w:tc>
          <w:tcPr>
            <w:tcW w:w="1697" w:type="dxa"/>
            <w:shd w:val="clear" w:color="auto" w:fill="auto"/>
            <w:vAlign w:val="center"/>
          </w:tcPr>
          <w:p w14:paraId="1E58F537" w14:textId="77777777" w:rsidR="00DB65CB" w:rsidRPr="00C21E24" w:rsidRDefault="00DB65CB" w:rsidP="00DB65CB">
            <w:pPr>
              <w:spacing w:before="40" w:after="40"/>
              <w:jc w:val="right"/>
              <w:rPr>
                <w:rFonts w:ascii="Century Gothic" w:hAnsi="Century Gothic"/>
              </w:rPr>
            </w:pPr>
            <w:r w:rsidRPr="00C21E24">
              <w:rPr>
                <w:rFonts w:ascii="Century Gothic" w:hAnsi="Century Gothic"/>
              </w:rPr>
              <w:t>57,269</w:t>
            </w:r>
          </w:p>
        </w:tc>
        <w:tc>
          <w:tcPr>
            <w:tcW w:w="1697" w:type="dxa"/>
            <w:shd w:val="clear" w:color="auto" w:fill="auto"/>
            <w:vAlign w:val="center"/>
          </w:tcPr>
          <w:p w14:paraId="55C3FF31" w14:textId="77777777" w:rsidR="00DB65CB" w:rsidRPr="00C21E24" w:rsidRDefault="00DB65CB" w:rsidP="00DB65CB">
            <w:pPr>
              <w:spacing w:before="40" w:after="40"/>
              <w:jc w:val="right"/>
              <w:rPr>
                <w:rFonts w:ascii="Century Gothic" w:hAnsi="Century Gothic"/>
              </w:rPr>
            </w:pPr>
            <w:r w:rsidRPr="00C21E24">
              <w:rPr>
                <w:rFonts w:ascii="Century Gothic" w:hAnsi="Century Gothic"/>
              </w:rPr>
              <w:t>+3.18</w:t>
            </w:r>
          </w:p>
        </w:tc>
      </w:tr>
      <w:tr w:rsidR="00DB65CB" w:rsidRPr="00AC3AF4" w14:paraId="2F855FEE" w14:textId="77777777" w:rsidTr="00FE17EB">
        <w:trPr>
          <w:cantSplit/>
          <w:trHeight w:val="143"/>
          <w:jc w:val="center"/>
        </w:trPr>
        <w:tc>
          <w:tcPr>
            <w:tcW w:w="3583" w:type="dxa"/>
            <w:tcBorders>
              <w:top w:val="nil"/>
              <w:left w:val="nil"/>
              <w:bottom w:val="nil"/>
              <w:right w:val="nil"/>
              <w:tl2br w:val="nil"/>
              <w:tr2bl w:val="nil"/>
            </w:tcBorders>
            <w:shd w:val="clear" w:color="auto" w:fill="E5EEE1"/>
            <w:vAlign w:val="center"/>
          </w:tcPr>
          <w:p w14:paraId="3FBB9D26" w14:textId="77777777" w:rsidR="00DB65CB" w:rsidRPr="00C21E24" w:rsidRDefault="00DB65CB" w:rsidP="00DB65CB">
            <w:pPr>
              <w:spacing w:before="40" w:after="40"/>
              <w:rPr>
                <w:rFonts w:ascii="Century Gothic" w:hAnsi="Century Gothic"/>
              </w:rPr>
            </w:pPr>
            <w:r w:rsidRPr="00C21E24">
              <w:rPr>
                <w:rFonts w:ascii="Century Gothic" w:hAnsi="Century Gothic"/>
              </w:rPr>
              <w:t>Meadow Valley</w:t>
            </w:r>
          </w:p>
        </w:tc>
        <w:tc>
          <w:tcPr>
            <w:tcW w:w="1696" w:type="dxa"/>
            <w:tcBorders>
              <w:top w:val="nil"/>
              <w:left w:val="nil"/>
              <w:bottom w:val="nil"/>
              <w:right w:val="nil"/>
              <w:tl2br w:val="nil"/>
              <w:tr2bl w:val="nil"/>
            </w:tcBorders>
            <w:shd w:val="clear" w:color="auto" w:fill="E5EEE1"/>
          </w:tcPr>
          <w:p w14:paraId="1B88A25C" w14:textId="77777777" w:rsidR="00DB65CB" w:rsidRPr="00C21E24" w:rsidRDefault="00DB65CB" w:rsidP="00DB65CB">
            <w:pPr>
              <w:spacing w:before="40" w:after="40"/>
              <w:jc w:val="right"/>
              <w:rPr>
                <w:rFonts w:ascii="Century Gothic" w:hAnsi="Century Gothic"/>
              </w:rPr>
            </w:pPr>
            <w:r w:rsidRPr="00C21E24">
              <w:rPr>
                <w:rFonts w:ascii="Century Gothic" w:hAnsi="Century Gothic"/>
              </w:rPr>
              <w:t>4</w:t>
            </w:r>
          </w:p>
        </w:tc>
        <w:tc>
          <w:tcPr>
            <w:tcW w:w="1697" w:type="dxa"/>
            <w:tcBorders>
              <w:top w:val="nil"/>
              <w:left w:val="nil"/>
              <w:bottom w:val="nil"/>
              <w:right w:val="nil"/>
              <w:tl2br w:val="nil"/>
              <w:tr2bl w:val="nil"/>
            </w:tcBorders>
            <w:shd w:val="clear" w:color="auto" w:fill="E5EEE1"/>
            <w:vAlign w:val="center"/>
          </w:tcPr>
          <w:p w14:paraId="63C957F2" w14:textId="77777777" w:rsidR="00DB65CB" w:rsidRPr="00C21E24" w:rsidRDefault="00DB65CB" w:rsidP="00DB65CB">
            <w:pPr>
              <w:spacing w:before="40" w:after="40"/>
              <w:jc w:val="right"/>
              <w:rPr>
                <w:rFonts w:ascii="Century Gothic" w:hAnsi="Century Gothic"/>
              </w:rPr>
            </w:pPr>
            <w:r w:rsidRPr="00C21E24">
              <w:rPr>
                <w:rFonts w:ascii="Century Gothic" w:hAnsi="Century Gothic"/>
              </w:rPr>
              <w:t>56,056</w:t>
            </w:r>
          </w:p>
        </w:tc>
        <w:tc>
          <w:tcPr>
            <w:tcW w:w="1697" w:type="dxa"/>
            <w:tcBorders>
              <w:top w:val="nil"/>
              <w:left w:val="nil"/>
              <w:bottom w:val="nil"/>
              <w:right w:val="nil"/>
              <w:tl2br w:val="nil"/>
              <w:tr2bl w:val="nil"/>
            </w:tcBorders>
            <w:shd w:val="clear" w:color="auto" w:fill="E5EEE1"/>
            <w:vAlign w:val="center"/>
          </w:tcPr>
          <w:p w14:paraId="3E3FC56B" w14:textId="77777777" w:rsidR="00DB65CB" w:rsidRPr="00C21E24" w:rsidRDefault="00DB65CB" w:rsidP="00DB65CB">
            <w:pPr>
              <w:spacing w:before="40" w:after="40"/>
              <w:jc w:val="right"/>
              <w:rPr>
                <w:rFonts w:ascii="Century Gothic" w:hAnsi="Century Gothic"/>
              </w:rPr>
            </w:pPr>
            <w:r w:rsidRPr="00C21E24">
              <w:rPr>
                <w:rFonts w:ascii="Century Gothic" w:hAnsi="Century Gothic"/>
              </w:rPr>
              <w:t>+1.00</w:t>
            </w:r>
          </w:p>
        </w:tc>
      </w:tr>
      <w:tr w:rsidR="00DB65CB" w:rsidRPr="00AC3AF4" w14:paraId="0F20BD33" w14:textId="77777777" w:rsidTr="00FE17EB">
        <w:trPr>
          <w:cantSplit/>
          <w:trHeight w:val="80"/>
          <w:jc w:val="center"/>
        </w:trPr>
        <w:tc>
          <w:tcPr>
            <w:tcW w:w="3583" w:type="dxa"/>
            <w:shd w:val="clear" w:color="auto" w:fill="auto"/>
            <w:vAlign w:val="center"/>
          </w:tcPr>
          <w:p w14:paraId="2ABE00EF" w14:textId="77777777" w:rsidR="00DB65CB" w:rsidRPr="00C21E24" w:rsidRDefault="00DB65CB" w:rsidP="00DB65CB">
            <w:pPr>
              <w:spacing w:before="40" w:after="40"/>
              <w:rPr>
                <w:rFonts w:ascii="Century Gothic" w:hAnsi="Century Gothic"/>
              </w:rPr>
            </w:pPr>
            <w:r w:rsidRPr="00C21E24">
              <w:rPr>
                <w:rFonts w:ascii="Century Gothic" w:hAnsi="Century Gothic"/>
              </w:rPr>
              <w:t>Jacksons Creek</w:t>
            </w:r>
          </w:p>
        </w:tc>
        <w:tc>
          <w:tcPr>
            <w:tcW w:w="1696" w:type="dxa"/>
          </w:tcPr>
          <w:p w14:paraId="563691A3" w14:textId="77777777" w:rsidR="00DB65CB" w:rsidRPr="00C21E24" w:rsidRDefault="00DB65CB" w:rsidP="00DB65CB">
            <w:pPr>
              <w:spacing w:before="40" w:after="40"/>
              <w:jc w:val="right"/>
              <w:rPr>
                <w:rFonts w:ascii="Century Gothic" w:hAnsi="Century Gothic"/>
              </w:rPr>
            </w:pPr>
            <w:r w:rsidRPr="00C21E24">
              <w:rPr>
                <w:rFonts w:ascii="Century Gothic" w:hAnsi="Century Gothic"/>
              </w:rPr>
              <w:t>3</w:t>
            </w:r>
          </w:p>
        </w:tc>
        <w:tc>
          <w:tcPr>
            <w:tcW w:w="1697" w:type="dxa"/>
            <w:shd w:val="clear" w:color="auto" w:fill="auto"/>
            <w:vAlign w:val="center"/>
          </w:tcPr>
          <w:p w14:paraId="067DF8A1" w14:textId="77777777" w:rsidR="00DB65CB" w:rsidRPr="00C21E24" w:rsidRDefault="00DB65CB" w:rsidP="00DB65CB">
            <w:pPr>
              <w:spacing w:before="40" w:after="40"/>
              <w:jc w:val="right"/>
              <w:rPr>
                <w:rFonts w:ascii="Century Gothic" w:hAnsi="Century Gothic"/>
              </w:rPr>
            </w:pPr>
            <w:r w:rsidRPr="00C21E24">
              <w:rPr>
                <w:rFonts w:ascii="Century Gothic" w:hAnsi="Century Gothic"/>
              </w:rPr>
              <w:t>39,304</w:t>
            </w:r>
          </w:p>
        </w:tc>
        <w:tc>
          <w:tcPr>
            <w:tcW w:w="1697" w:type="dxa"/>
            <w:shd w:val="clear" w:color="auto" w:fill="auto"/>
            <w:vAlign w:val="center"/>
          </w:tcPr>
          <w:p w14:paraId="29B7E6DF" w14:textId="77777777" w:rsidR="00DB65CB" w:rsidRPr="00C21E24" w:rsidRDefault="00DB65CB" w:rsidP="00DB65CB">
            <w:pPr>
              <w:spacing w:before="40" w:after="40"/>
              <w:jc w:val="right"/>
              <w:rPr>
                <w:rFonts w:ascii="Century Gothic" w:hAnsi="Century Gothic"/>
              </w:rPr>
            </w:pPr>
            <w:r w:rsidRPr="00C21E24">
              <w:rPr>
                <w:rFonts w:ascii="Century Gothic" w:hAnsi="Century Gothic"/>
              </w:rPr>
              <w:t>-5.58</w:t>
            </w:r>
          </w:p>
        </w:tc>
      </w:tr>
      <w:tr w:rsidR="00DB65CB" w:rsidRPr="00AC3AF4" w14:paraId="6851B8DD" w14:textId="77777777" w:rsidTr="00FE17EB">
        <w:trPr>
          <w:cantSplit/>
          <w:trHeight w:val="102"/>
          <w:jc w:val="center"/>
        </w:trPr>
        <w:tc>
          <w:tcPr>
            <w:tcW w:w="3583" w:type="dxa"/>
            <w:shd w:val="clear" w:color="auto" w:fill="E5EEE1"/>
            <w:vAlign w:val="center"/>
          </w:tcPr>
          <w:p w14:paraId="76070C3D" w14:textId="77777777" w:rsidR="00DB65CB" w:rsidRPr="00C21E24" w:rsidRDefault="00DB65CB" w:rsidP="00DB65CB">
            <w:pPr>
              <w:spacing w:before="40" w:after="40"/>
              <w:rPr>
                <w:rFonts w:ascii="Century Gothic" w:hAnsi="Century Gothic"/>
                <w:b/>
              </w:rPr>
            </w:pPr>
            <w:r w:rsidRPr="00C21E24">
              <w:rPr>
                <w:rFonts w:ascii="Century Gothic" w:hAnsi="Century Gothic"/>
                <w:b/>
              </w:rPr>
              <w:t>Total for council</w:t>
            </w:r>
          </w:p>
        </w:tc>
        <w:tc>
          <w:tcPr>
            <w:tcW w:w="1696" w:type="dxa"/>
            <w:shd w:val="clear" w:color="auto" w:fill="E5EEE1"/>
          </w:tcPr>
          <w:p w14:paraId="076D81A4" w14:textId="77777777" w:rsidR="00DB65CB" w:rsidRPr="00C21E24" w:rsidRDefault="00DB65CB" w:rsidP="00DB65CB">
            <w:pPr>
              <w:spacing w:before="40" w:after="40"/>
              <w:jc w:val="right"/>
              <w:rPr>
                <w:rFonts w:ascii="Century Gothic" w:hAnsi="Century Gothic"/>
                <w:b/>
              </w:rPr>
            </w:pPr>
            <w:r w:rsidRPr="00C21E24">
              <w:rPr>
                <w:rFonts w:ascii="Century Gothic" w:hAnsi="Century Gothic"/>
                <w:b/>
              </w:rPr>
              <w:t>11</w:t>
            </w:r>
          </w:p>
        </w:tc>
        <w:tc>
          <w:tcPr>
            <w:tcW w:w="1697" w:type="dxa"/>
            <w:shd w:val="clear" w:color="auto" w:fill="E5EEE1"/>
            <w:vAlign w:val="center"/>
          </w:tcPr>
          <w:p w14:paraId="0F131F43" w14:textId="77777777" w:rsidR="00DB65CB" w:rsidRPr="00C21E24" w:rsidRDefault="00DB65CB" w:rsidP="00DB65CB">
            <w:pPr>
              <w:spacing w:before="40" w:after="40"/>
              <w:jc w:val="right"/>
              <w:rPr>
                <w:rFonts w:ascii="Century Gothic" w:hAnsi="Century Gothic"/>
                <w:b/>
              </w:rPr>
            </w:pPr>
            <w:r w:rsidRPr="00C21E24">
              <w:rPr>
                <w:rFonts w:ascii="Century Gothic" w:hAnsi="Century Gothic"/>
                <w:b/>
              </w:rPr>
              <w:t>152,629</w:t>
            </w:r>
          </w:p>
        </w:tc>
        <w:tc>
          <w:tcPr>
            <w:tcW w:w="1697" w:type="dxa"/>
            <w:shd w:val="clear" w:color="auto" w:fill="E5EEE1"/>
            <w:vAlign w:val="center"/>
          </w:tcPr>
          <w:p w14:paraId="6BA30708" w14:textId="77777777" w:rsidR="00DB65CB" w:rsidRPr="00C21E24" w:rsidRDefault="00DB65CB" w:rsidP="00DB65CB">
            <w:pPr>
              <w:spacing w:before="40" w:after="40"/>
              <w:jc w:val="right"/>
              <w:rPr>
                <w:rFonts w:ascii="Century Gothic" w:hAnsi="Century Gothic"/>
              </w:rPr>
            </w:pPr>
          </w:p>
        </w:tc>
      </w:tr>
    </w:tbl>
    <w:p w14:paraId="222DD2F9" w14:textId="77777777" w:rsidR="007E7FE1" w:rsidRPr="00FE17EB" w:rsidRDefault="007E7FE1" w:rsidP="002518F6">
      <w:pPr>
        <w:pStyle w:val="BodyText"/>
      </w:pPr>
    </w:p>
    <w:p w14:paraId="53036862" w14:textId="77777777" w:rsidR="007E7FE1" w:rsidRPr="00AC5FFA" w:rsidRDefault="007E7FE1" w:rsidP="00A03179">
      <w:pPr>
        <w:pStyle w:val="Heading1numbered"/>
      </w:pPr>
      <w:r w:rsidRPr="00AC5FFA">
        <w:rPr>
          <w:noProof/>
        </w:rPr>
        <w:br w:type="page"/>
      </w:r>
      <w:bookmarkStart w:id="11" w:name="_Toc37332245"/>
      <w:r w:rsidRPr="00AC5FFA">
        <w:rPr>
          <w:noProof/>
        </w:rPr>
        <w:lastRenderedPageBreak/>
        <w:t>Public response</w:t>
      </w:r>
      <w:bookmarkEnd w:id="11"/>
      <w:r w:rsidRPr="00AC5FFA">
        <w:t xml:space="preserve"> </w:t>
      </w:r>
    </w:p>
    <w:p w14:paraId="44C84DD8" w14:textId="77777777" w:rsidR="007E7FE1" w:rsidRPr="00AC5FFA" w:rsidRDefault="007E7FE1" w:rsidP="007D5189">
      <w:pPr>
        <w:pStyle w:val="Heading2numbered"/>
      </w:pPr>
      <w:bookmarkStart w:id="12" w:name="_Toc37332246"/>
      <w:r w:rsidRPr="00AC5FFA">
        <w:t>Response submissions</w:t>
      </w:r>
      <w:bookmarkEnd w:id="12"/>
    </w:p>
    <w:p w14:paraId="535F33EE" w14:textId="743F92E4" w:rsidR="007E7FE1" w:rsidRDefault="007E7FE1" w:rsidP="005B0BCF">
      <w:pPr>
        <w:pStyle w:val="BodyText"/>
      </w:pPr>
      <w:r w:rsidRPr="00AC5FFA">
        <w:t xml:space="preserve">The VEC accepted submissions </w:t>
      </w:r>
      <w:r w:rsidRPr="006E45BA">
        <w:t xml:space="preserve">responding to the preliminary report from </w:t>
      </w:r>
      <w:r w:rsidRPr="006E45BA">
        <w:rPr>
          <w:noProof/>
        </w:rPr>
        <w:t>Wednesday 26 February 2020</w:t>
      </w:r>
      <w:r w:rsidRPr="006E45BA">
        <w:t xml:space="preserve"> until 5.00 pm on </w:t>
      </w:r>
      <w:r w:rsidRPr="006E45BA">
        <w:rPr>
          <w:noProof/>
        </w:rPr>
        <w:t>Wednesday 25 March 2020</w:t>
      </w:r>
      <w:r w:rsidRPr="006E45BA">
        <w:t>. The</w:t>
      </w:r>
      <w:r w:rsidRPr="00AC5FFA">
        <w:t xml:space="preserve"> VEC received </w:t>
      </w:r>
      <w:r w:rsidR="00B526E4">
        <w:t>four</w:t>
      </w:r>
      <w:r w:rsidRPr="00AC5FFA">
        <w:t xml:space="preserve"> response submissions. A list of people</w:t>
      </w:r>
      <w:r w:rsidR="00AE6F2D">
        <w:t xml:space="preserve"> and organisations</w:t>
      </w:r>
      <w:r w:rsidRPr="00AC5FFA">
        <w:t xml:space="preserve"> </w:t>
      </w:r>
      <w:r w:rsidR="005F529C">
        <w:t>that</w:t>
      </w:r>
      <w:r w:rsidR="005F529C" w:rsidRPr="00AC5FFA">
        <w:t xml:space="preserve"> </w:t>
      </w:r>
      <w:r w:rsidRPr="00AC5FFA">
        <w:t xml:space="preserve">made a response submission can be found in Appendix 1. </w:t>
      </w:r>
    </w:p>
    <w:p w14:paraId="065810D9" w14:textId="77777777" w:rsidR="00382BE8" w:rsidRDefault="00382BE8" w:rsidP="00382BE8">
      <w:pPr>
        <w:pStyle w:val="Heading3"/>
      </w:pPr>
      <w:r>
        <w:t>Uniting</w:t>
      </w:r>
      <w:r w:rsidR="008702F5">
        <w:t xml:space="preserve"> more</w:t>
      </w:r>
      <w:r>
        <w:t xml:space="preserve"> </w:t>
      </w:r>
      <w:r w:rsidR="008702F5">
        <w:t>localities</w:t>
      </w:r>
    </w:p>
    <w:p w14:paraId="7B8B1112" w14:textId="56613F44" w:rsidR="00AE6F0C" w:rsidRDefault="008702F5" w:rsidP="005B0BCF">
      <w:pPr>
        <w:pStyle w:val="BodyText"/>
      </w:pPr>
      <w:r>
        <w:t xml:space="preserve">Councillor Andrew Jessop </w:t>
      </w:r>
      <w:r w:rsidR="00AA4D34">
        <w:t>provided an independent submission</w:t>
      </w:r>
      <w:r>
        <w:t xml:space="preserve">. He </w:t>
      </w:r>
      <w:r w:rsidR="00C11B71">
        <w:t>‘generally support[ed] the rationale and outcome of the VEC’s preliminary report’</w:t>
      </w:r>
      <w:r w:rsidR="00050E36">
        <w:t>. However,</w:t>
      </w:r>
      <w:r w:rsidR="00C11B71">
        <w:t xml:space="preserve"> </w:t>
      </w:r>
      <w:r w:rsidR="005927DA">
        <w:t>C</w:t>
      </w:r>
      <w:r w:rsidR="00352C1B">
        <w:t>ouncillo</w:t>
      </w:r>
      <w:r w:rsidR="005927DA">
        <w:t xml:space="preserve">r Jessop </w:t>
      </w:r>
      <w:r w:rsidR="00C11B71">
        <w:t xml:space="preserve">believed </w:t>
      </w:r>
      <w:r w:rsidR="00AA4D34">
        <w:t xml:space="preserve">that </w:t>
      </w:r>
      <w:r w:rsidR="00C11B71">
        <w:t>the</w:t>
      </w:r>
      <w:r w:rsidR="00502769">
        <w:t xml:space="preserve"> proposed boundaries</w:t>
      </w:r>
      <w:r w:rsidR="00C11B71">
        <w:t xml:space="preserve"> </w:t>
      </w:r>
      <w:r w:rsidR="001C104F">
        <w:t>could be</w:t>
      </w:r>
      <w:r w:rsidR="00C11B71">
        <w:t xml:space="preserve"> </w:t>
      </w:r>
      <w:r w:rsidR="00F2202A">
        <w:t>improve</w:t>
      </w:r>
      <w:r w:rsidR="00502769">
        <w:t>d</w:t>
      </w:r>
      <w:r w:rsidR="00F2202A">
        <w:t xml:space="preserve"> </w:t>
      </w:r>
      <w:r w:rsidR="00050E36">
        <w:t xml:space="preserve">to </w:t>
      </w:r>
      <w:r w:rsidR="00795E8D">
        <w:t>reduce the number of localities split by the</w:t>
      </w:r>
      <w:r>
        <w:t xml:space="preserve"> </w:t>
      </w:r>
      <w:r w:rsidR="00795E8D">
        <w:t>current and proposed ward boundaries</w:t>
      </w:r>
      <w:r w:rsidR="00C11B71">
        <w:t xml:space="preserve">. </w:t>
      </w:r>
    </w:p>
    <w:p w14:paraId="211AE13E" w14:textId="3A0DFE6F" w:rsidR="003C21E9" w:rsidRDefault="00050E36" w:rsidP="005B0BCF">
      <w:pPr>
        <w:pStyle w:val="BodyText"/>
      </w:pPr>
      <w:r>
        <w:t xml:space="preserve">According to </w:t>
      </w:r>
      <w:r w:rsidR="00C11B71">
        <w:t>Councillor Jessop</w:t>
      </w:r>
      <w:r>
        <w:t xml:space="preserve">, </w:t>
      </w:r>
      <w:r w:rsidR="00C11B71">
        <w:t>residents</w:t>
      </w:r>
      <w:r w:rsidR="00F2202A">
        <w:t xml:space="preserve"> </w:t>
      </w:r>
      <w:r w:rsidR="00C11B71">
        <w:t>strongly relate</w:t>
      </w:r>
      <w:r>
        <w:t>d</w:t>
      </w:r>
      <w:r w:rsidR="00C11B71">
        <w:t xml:space="preserve"> to their suburb</w:t>
      </w:r>
      <w:r w:rsidR="00795E8D">
        <w:t>, which</w:t>
      </w:r>
      <w:r w:rsidR="00C11B71">
        <w:t xml:space="preserve"> was </w:t>
      </w:r>
      <w:r w:rsidR="00382BE8">
        <w:t xml:space="preserve">especially the </w:t>
      </w:r>
      <w:r w:rsidR="00C11B71">
        <w:t>case in Craigieburn, Greenvale and Roxburgh Park i</w:t>
      </w:r>
      <w:r w:rsidR="00382BE8">
        <w:t xml:space="preserve">n </w:t>
      </w:r>
      <w:r w:rsidR="003C21E9">
        <w:t>Aitken</w:t>
      </w:r>
      <w:r w:rsidR="00C11B71">
        <w:t xml:space="preserve"> </w:t>
      </w:r>
      <w:r w:rsidR="003C21E9">
        <w:t>W</w:t>
      </w:r>
      <w:r w:rsidR="00C11B71">
        <w:t xml:space="preserve">ard. </w:t>
      </w:r>
      <w:r w:rsidR="005927DA">
        <w:t>C</w:t>
      </w:r>
      <w:r w:rsidR="00352C1B">
        <w:t>ouncillo</w:t>
      </w:r>
      <w:r w:rsidR="005927DA">
        <w:t xml:space="preserve">r Jessop </w:t>
      </w:r>
      <w:r w:rsidR="00F2202A">
        <w:t>noted that the VEC’s propos</w:t>
      </w:r>
      <w:r w:rsidR="008702F5">
        <w:t>ed ward boundary adjustments</w:t>
      </w:r>
      <w:r w:rsidR="00F2202A">
        <w:t xml:space="preserve"> would split </w:t>
      </w:r>
      <w:r w:rsidR="00AE6F0C">
        <w:t>the localities of Attwood, Westmeadows and Roxburgh Park</w:t>
      </w:r>
      <w:r w:rsidR="00705944">
        <w:t>,</w:t>
      </w:r>
      <w:r w:rsidR="00F2202A">
        <w:t xml:space="preserve"> in addition to localities such as Greenvale</w:t>
      </w:r>
      <w:r w:rsidR="00705944">
        <w:t>,</w:t>
      </w:r>
      <w:r w:rsidR="00F2202A">
        <w:t xml:space="preserve"> which were already split in the </w:t>
      </w:r>
      <w:r w:rsidR="00AE6F0C">
        <w:t xml:space="preserve">current </w:t>
      </w:r>
      <w:r w:rsidR="004D5CC1">
        <w:t>s</w:t>
      </w:r>
      <w:r w:rsidR="00AE6F0C">
        <w:t>tructure</w:t>
      </w:r>
      <w:r w:rsidR="00F2202A">
        <w:t xml:space="preserve">. </w:t>
      </w:r>
    </w:p>
    <w:p w14:paraId="1F3FCB30" w14:textId="02722ABD" w:rsidR="003C21E9" w:rsidRDefault="00C11B71" w:rsidP="005B0BCF">
      <w:pPr>
        <w:pStyle w:val="BodyText"/>
      </w:pPr>
      <w:r>
        <w:t xml:space="preserve">Councillor Jessop </w:t>
      </w:r>
      <w:r w:rsidR="00795E8D">
        <w:t xml:space="preserve">supported the VEC’s boundary adjustments but </w:t>
      </w:r>
      <w:r>
        <w:t xml:space="preserve">proposed </w:t>
      </w:r>
      <w:r w:rsidR="00795E8D">
        <w:t xml:space="preserve">an </w:t>
      </w:r>
      <w:r w:rsidR="008702F5">
        <w:t xml:space="preserve">additional boundary </w:t>
      </w:r>
      <w:r w:rsidR="001C104F">
        <w:t>adjust</w:t>
      </w:r>
      <w:r w:rsidR="00795E8D">
        <w:t xml:space="preserve">ment </w:t>
      </w:r>
      <w:r w:rsidR="003C21E9">
        <w:t>between Aitken and Meadow Valley Wards</w:t>
      </w:r>
      <w:r w:rsidR="00AE6F0C">
        <w:t xml:space="preserve"> </w:t>
      </w:r>
      <w:r w:rsidR="00795E8D">
        <w:t>in order to</w:t>
      </w:r>
      <w:r w:rsidR="003C21E9">
        <w:t xml:space="preserve"> unite Greenvale in Meadow Valley Ward and</w:t>
      </w:r>
      <w:r w:rsidR="00050E36">
        <w:t xml:space="preserve"> </w:t>
      </w:r>
      <w:r w:rsidR="001C104F">
        <w:t xml:space="preserve">unite </w:t>
      </w:r>
      <w:r w:rsidR="003C21E9">
        <w:t xml:space="preserve">Roxburgh Park in Aitken Ward. </w:t>
      </w:r>
      <w:r w:rsidR="005927DA">
        <w:t>C</w:t>
      </w:r>
      <w:r w:rsidR="00352C1B">
        <w:t>ouncillo</w:t>
      </w:r>
      <w:r w:rsidR="005927DA">
        <w:t xml:space="preserve">r Jessop </w:t>
      </w:r>
      <w:r w:rsidR="00795E8D">
        <w:t>wrote that t</w:t>
      </w:r>
      <w:r w:rsidR="001C104F">
        <w:t>his</w:t>
      </w:r>
      <w:r w:rsidR="00096671">
        <w:t xml:space="preserve"> would </w:t>
      </w:r>
      <w:r w:rsidR="003C21E9">
        <w:t>leave Attwood and Westmeadows ‘unavoidably</w:t>
      </w:r>
      <w:r w:rsidR="00382BE8">
        <w:t xml:space="preserve">’ </w:t>
      </w:r>
      <w:r w:rsidR="003C21E9">
        <w:t>split</w:t>
      </w:r>
      <w:r w:rsidR="00382BE8">
        <w:t xml:space="preserve"> </w:t>
      </w:r>
      <w:r w:rsidR="006F48C2">
        <w:t>by the</w:t>
      </w:r>
      <w:r w:rsidR="00BD3481">
        <w:t xml:space="preserve"> </w:t>
      </w:r>
      <w:r w:rsidR="006F48C2">
        <w:t xml:space="preserve">new ward </w:t>
      </w:r>
      <w:r w:rsidR="00BD3481">
        <w:t>boundaries</w:t>
      </w:r>
      <w:r w:rsidR="00795E8D">
        <w:t xml:space="preserve"> but reduce the total</w:t>
      </w:r>
      <w:r w:rsidR="00ED7187">
        <w:t xml:space="preserve"> number of communitie</w:t>
      </w:r>
      <w:r w:rsidR="00795E8D">
        <w:t xml:space="preserve">s of interest </w:t>
      </w:r>
      <w:r w:rsidR="0019694C">
        <w:t>and localities</w:t>
      </w:r>
      <w:r w:rsidR="00ED7187">
        <w:t xml:space="preserve"> </w:t>
      </w:r>
      <w:r w:rsidR="004D5CC1">
        <w:t>split in</w:t>
      </w:r>
      <w:r w:rsidR="00ED7187">
        <w:t xml:space="preserve"> the VEC’s </w:t>
      </w:r>
      <w:r w:rsidR="008702F5">
        <w:t>proposal</w:t>
      </w:r>
      <w:r w:rsidR="00382BE8">
        <w:t xml:space="preserve">.   </w:t>
      </w:r>
    </w:p>
    <w:p w14:paraId="6D62A4BC" w14:textId="77777777" w:rsidR="00382BE8" w:rsidRDefault="00382BE8" w:rsidP="00382BE8">
      <w:pPr>
        <w:pStyle w:val="Heading3"/>
      </w:pPr>
      <w:r>
        <w:t>Uniting Greenvale</w:t>
      </w:r>
    </w:p>
    <w:p w14:paraId="7C56B841" w14:textId="0A51EAC4" w:rsidR="003C21E9" w:rsidRDefault="003C21E9" w:rsidP="005B0BCF">
      <w:pPr>
        <w:pStyle w:val="BodyText"/>
      </w:pPr>
      <w:r>
        <w:t xml:space="preserve">The Greenvale Residents’ Association Incorporated </w:t>
      </w:r>
      <w:r w:rsidR="0029684E">
        <w:t>advocate</w:t>
      </w:r>
      <w:r w:rsidR="001C104F">
        <w:t>d</w:t>
      </w:r>
      <w:r w:rsidR="0029684E">
        <w:t xml:space="preserve"> for</w:t>
      </w:r>
      <w:r>
        <w:t xml:space="preserve"> Greenvale</w:t>
      </w:r>
      <w:r w:rsidR="001C104F">
        <w:t xml:space="preserve"> to be united in </w:t>
      </w:r>
      <w:r>
        <w:t xml:space="preserve">one ward. </w:t>
      </w:r>
      <w:r w:rsidR="005927DA">
        <w:t>It was submitted</w:t>
      </w:r>
      <w:r w:rsidR="004B116C">
        <w:t xml:space="preserve"> that </w:t>
      </w:r>
      <w:r w:rsidR="0019694C">
        <w:t>since the VEC’s last electoral representation review</w:t>
      </w:r>
      <w:r w:rsidR="000F2208">
        <w:t xml:space="preserve"> in 2012</w:t>
      </w:r>
      <w:r w:rsidR="0019694C">
        <w:t xml:space="preserve">, </w:t>
      </w:r>
      <w:r>
        <w:t xml:space="preserve">Greenvale’s </w:t>
      </w:r>
      <w:r w:rsidR="0019694C">
        <w:t xml:space="preserve">residents and voters </w:t>
      </w:r>
      <w:r>
        <w:t>have been disadvantaged by being divided</w:t>
      </w:r>
      <w:r w:rsidR="00705944">
        <w:t xml:space="preserve"> </w:t>
      </w:r>
      <w:r>
        <w:t xml:space="preserve">across Aitken and Meadow Valley Wards. </w:t>
      </w:r>
      <w:r w:rsidR="000F2208">
        <w:t>V</w:t>
      </w:r>
      <w:r w:rsidR="00BD3481">
        <w:t>oters</w:t>
      </w:r>
      <w:r w:rsidR="006F48C2">
        <w:t xml:space="preserve"> </w:t>
      </w:r>
      <w:r w:rsidR="0029684E">
        <w:t>had been</w:t>
      </w:r>
      <w:r w:rsidR="006F48C2">
        <w:t xml:space="preserve"> confused about which ward they were in</w:t>
      </w:r>
      <w:r w:rsidR="0019694C">
        <w:t>, and</w:t>
      </w:r>
      <w:r w:rsidR="006F48C2">
        <w:t xml:space="preserve"> while </w:t>
      </w:r>
      <w:r>
        <w:t xml:space="preserve">thousands of new residents had </w:t>
      </w:r>
      <w:r w:rsidR="001C104F">
        <w:t>settled in</w:t>
      </w:r>
      <w:r>
        <w:t xml:space="preserve"> Greenvale </w:t>
      </w:r>
      <w:r w:rsidR="006F48C2">
        <w:t>in the past nine years</w:t>
      </w:r>
      <w:r w:rsidR="001C104F">
        <w:t>,</w:t>
      </w:r>
      <w:r w:rsidR="006F48C2">
        <w:t xml:space="preserve"> Greenvale </w:t>
      </w:r>
      <w:r w:rsidR="0019694C">
        <w:t>was</w:t>
      </w:r>
      <w:r w:rsidR="001C104F">
        <w:t xml:space="preserve"> unable to</w:t>
      </w:r>
      <w:r>
        <w:t xml:space="preserve"> gain</w:t>
      </w:r>
      <w:r w:rsidR="0029684E">
        <w:t xml:space="preserve"> adequate </w:t>
      </w:r>
      <w:r w:rsidR="004D5CC1">
        <w:t xml:space="preserve">council </w:t>
      </w:r>
      <w:r w:rsidR="0029684E">
        <w:t>representation,</w:t>
      </w:r>
      <w:r w:rsidR="001C104F">
        <w:t xml:space="preserve"> </w:t>
      </w:r>
      <w:r w:rsidR="0029684E">
        <w:t>evident in the lack of</w:t>
      </w:r>
      <w:r>
        <w:t xml:space="preserve"> ‘decent council infrastructure</w:t>
      </w:r>
      <w:r w:rsidR="00096671">
        <w:t>…</w:t>
      </w:r>
      <w:r>
        <w:t>such as a library, leisure centre, Roads</w:t>
      </w:r>
      <w:r w:rsidR="002272FB">
        <w:t xml:space="preserve">, </w:t>
      </w:r>
      <w:r>
        <w:t>Park improvements</w:t>
      </w:r>
      <w:r w:rsidR="002272FB">
        <w:t xml:space="preserve"> etc’.</w:t>
      </w:r>
      <w:r w:rsidR="006F48C2">
        <w:t xml:space="preserve"> </w:t>
      </w:r>
    </w:p>
    <w:p w14:paraId="25E78E79" w14:textId="23234F32" w:rsidR="00C11B71" w:rsidRDefault="0019694C" w:rsidP="005B0BCF">
      <w:pPr>
        <w:pStyle w:val="BodyText"/>
      </w:pPr>
      <w:r>
        <w:lastRenderedPageBreak/>
        <w:t>Greenvale</w:t>
      </w:r>
      <w:r w:rsidR="00BD3481">
        <w:t xml:space="preserve"> </w:t>
      </w:r>
      <w:r>
        <w:t>R</w:t>
      </w:r>
      <w:r w:rsidR="004B116C">
        <w:t xml:space="preserve">esidents’ </w:t>
      </w:r>
      <w:r>
        <w:t>A</w:t>
      </w:r>
      <w:r w:rsidR="006F48C2">
        <w:t>ssociation</w:t>
      </w:r>
      <w:r w:rsidR="00382BE8">
        <w:t xml:space="preserve"> </w:t>
      </w:r>
      <w:r w:rsidR="0029684E">
        <w:t>argued that if</w:t>
      </w:r>
      <w:r w:rsidR="006F48C2">
        <w:t xml:space="preserve"> Greenvale </w:t>
      </w:r>
      <w:r w:rsidR="0035450A">
        <w:t xml:space="preserve">was </w:t>
      </w:r>
      <w:r w:rsidR="0029684E">
        <w:t xml:space="preserve">to </w:t>
      </w:r>
      <w:r w:rsidR="006F48C2">
        <w:t xml:space="preserve">be </w:t>
      </w:r>
      <w:r w:rsidR="00BD3481">
        <w:t>united</w:t>
      </w:r>
      <w:r>
        <w:t xml:space="preserve"> in one ward,</w:t>
      </w:r>
      <w:r w:rsidR="00BD3481">
        <w:t xml:space="preserve"> </w:t>
      </w:r>
      <w:r w:rsidR="001C104F">
        <w:t xml:space="preserve">it </w:t>
      </w:r>
      <w:r w:rsidR="006F48C2">
        <w:t xml:space="preserve">would </w:t>
      </w:r>
      <w:r w:rsidR="00AE6DEC">
        <w:t>increase their</w:t>
      </w:r>
      <w:r w:rsidR="002272FB">
        <w:t xml:space="preserve"> chance of</w:t>
      </w:r>
      <w:r w:rsidR="006F48C2">
        <w:t xml:space="preserve"> </w:t>
      </w:r>
      <w:r w:rsidR="00096671">
        <w:t>elect</w:t>
      </w:r>
      <w:r w:rsidR="002272FB">
        <w:t>ing</w:t>
      </w:r>
      <w:r w:rsidR="00096671">
        <w:t xml:space="preserve"> a</w:t>
      </w:r>
      <w:r w:rsidR="006F48C2">
        <w:t xml:space="preserve"> councillor</w:t>
      </w:r>
      <w:r w:rsidR="0029684E">
        <w:t xml:space="preserve"> </w:t>
      </w:r>
      <w:r w:rsidR="006F48C2">
        <w:t xml:space="preserve">dedicated to </w:t>
      </w:r>
      <w:r>
        <w:t>their issues</w:t>
      </w:r>
      <w:r w:rsidR="006F48C2">
        <w:t xml:space="preserve">. </w:t>
      </w:r>
      <w:r w:rsidR="00705944">
        <w:t>While</w:t>
      </w:r>
      <w:r w:rsidR="00382BE8">
        <w:t xml:space="preserve"> advocat</w:t>
      </w:r>
      <w:r w:rsidR="006F48C2">
        <w:t>ing</w:t>
      </w:r>
      <w:r w:rsidR="00382BE8">
        <w:t xml:space="preserve"> for </w:t>
      </w:r>
      <w:r w:rsidR="004B116C">
        <w:t xml:space="preserve">all of </w:t>
      </w:r>
      <w:r w:rsidR="00382BE8">
        <w:t>Greenvale to be</w:t>
      </w:r>
      <w:r>
        <w:t xml:space="preserve"> </w:t>
      </w:r>
      <w:r w:rsidR="004D5CC1">
        <w:t>in one ward</w:t>
      </w:r>
      <w:r w:rsidR="00050E36">
        <w:t xml:space="preserve">, </w:t>
      </w:r>
      <w:r w:rsidR="006F48C2">
        <w:t>u</w:t>
      </w:r>
      <w:r w:rsidR="00382BE8">
        <w:t xml:space="preserve">ltimately, </w:t>
      </w:r>
      <w:r w:rsidR="006F48C2">
        <w:t xml:space="preserve">the </w:t>
      </w:r>
      <w:r w:rsidR="000F2208">
        <w:t>a</w:t>
      </w:r>
      <w:r w:rsidR="00382BE8">
        <w:t>ssociation</w:t>
      </w:r>
      <w:r w:rsidR="006F48C2">
        <w:t xml:space="preserve"> believed ward boundaries needed to be ‘completely redrawn’ with </w:t>
      </w:r>
      <w:r w:rsidR="00BD3481">
        <w:t>‘</w:t>
      </w:r>
      <w:r w:rsidR="006F48C2">
        <w:t>smaller wards’ to serve the various communities</w:t>
      </w:r>
      <w:r>
        <w:t xml:space="preserve"> in the council area</w:t>
      </w:r>
      <w:r w:rsidR="006F48C2">
        <w:t xml:space="preserve">. </w:t>
      </w:r>
      <w:r w:rsidR="00382BE8">
        <w:t xml:space="preserve"> </w:t>
      </w:r>
    </w:p>
    <w:p w14:paraId="3F519159" w14:textId="77777777" w:rsidR="006269B5" w:rsidRDefault="006F48C2" w:rsidP="006269B5">
      <w:pPr>
        <w:pStyle w:val="Heading3"/>
      </w:pPr>
      <w:r>
        <w:t xml:space="preserve">Ward boundaries </w:t>
      </w:r>
      <w:r w:rsidR="009E6790">
        <w:t>reflecting</w:t>
      </w:r>
      <w:r w:rsidR="006B6A5F">
        <w:t xml:space="preserve"> </w:t>
      </w:r>
      <w:r w:rsidR="006269B5">
        <w:t>Hume Integrated Growth Area Plans</w:t>
      </w:r>
    </w:p>
    <w:p w14:paraId="3741D18F" w14:textId="756069E9" w:rsidR="00DB7DC4" w:rsidRDefault="00AE6F2D" w:rsidP="00EA1C11">
      <w:pPr>
        <w:pStyle w:val="BodyText"/>
      </w:pPr>
      <w:r>
        <w:t xml:space="preserve">Councillor </w:t>
      </w:r>
      <w:proofErr w:type="spellStart"/>
      <w:r w:rsidR="000F2208">
        <w:t>Naim</w:t>
      </w:r>
      <w:proofErr w:type="spellEnd"/>
      <w:r w:rsidR="000F2208">
        <w:t xml:space="preserve"> </w:t>
      </w:r>
      <w:r w:rsidR="00822186">
        <w:t xml:space="preserve">Kurt of </w:t>
      </w:r>
      <w:r w:rsidR="006F48C2">
        <w:t>Meadow Valley Ward</w:t>
      </w:r>
      <w:r w:rsidR="00197F6B">
        <w:t xml:space="preserve"> </w:t>
      </w:r>
      <w:r w:rsidR="000F2208">
        <w:t xml:space="preserve">also </w:t>
      </w:r>
      <w:r w:rsidR="00AA4D34">
        <w:t>provided an independent submission</w:t>
      </w:r>
      <w:r w:rsidR="000F2208">
        <w:t>. Councillor Kurt supported</w:t>
      </w:r>
      <w:r w:rsidR="00197F6B">
        <w:t xml:space="preserve"> </w:t>
      </w:r>
      <w:r w:rsidR="0019694C">
        <w:t>a</w:t>
      </w:r>
      <w:r w:rsidR="000F2208">
        <w:t xml:space="preserve"> different</w:t>
      </w:r>
      <w:r w:rsidR="0025589C">
        <w:t xml:space="preserve"> </w:t>
      </w:r>
      <w:r w:rsidR="00197F6B">
        <w:t>set of ward boundar</w:t>
      </w:r>
      <w:r w:rsidR="0025589C">
        <w:t>y adjustments</w:t>
      </w:r>
      <w:r w:rsidR="00D206CA">
        <w:t xml:space="preserve"> </w:t>
      </w:r>
      <w:r w:rsidR="00197F6B">
        <w:t>t</w:t>
      </w:r>
      <w:r w:rsidR="00172C21">
        <w:t xml:space="preserve">o the VEC’s </w:t>
      </w:r>
      <w:r w:rsidR="00197F6B">
        <w:t>propos</w:t>
      </w:r>
      <w:r w:rsidR="0025589C">
        <w:t>al</w:t>
      </w:r>
      <w:r w:rsidR="00C1280E">
        <w:t xml:space="preserve">. </w:t>
      </w:r>
      <w:r w:rsidR="00BD3481">
        <w:t xml:space="preserve">Councillor Kurt </w:t>
      </w:r>
      <w:r w:rsidR="0019694C">
        <w:t>argue</w:t>
      </w:r>
      <w:r w:rsidR="00D206CA">
        <w:t xml:space="preserve">d </w:t>
      </w:r>
      <w:r w:rsidR="0029684E">
        <w:t xml:space="preserve">that </w:t>
      </w:r>
      <w:r w:rsidR="0082219B">
        <w:t xml:space="preserve">his </w:t>
      </w:r>
      <w:r w:rsidR="00D206CA">
        <w:t xml:space="preserve">proposed </w:t>
      </w:r>
      <w:r w:rsidR="00197F6B">
        <w:t>boundaries</w:t>
      </w:r>
      <w:r w:rsidR="008E4C3D">
        <w:t xml:space="preserve"> would</w:t>
      </w:r>
      <w:r w:rsidR="00DB7DC4">
        <w:t xml:space="preserve"> deliver wards that</w:t>
      </w:r>
      <w:r w:rsidR="0029684E">
        <w:t xml:space="preserve"> </w:t>
      </w:r>
      <w:r w:rsidR="00DB7DC4">
        <w:t xml:space="preserve">better </w:t>
      </w:r>
      <w:r w:rsidR="00C1280E">
        <w:t>reflect</w:t>
      </w:r>
      <w:r w:rsidR="00DB7DC4">
        <w:t xml:space="preserve"> the</w:t>
      </w:r>
      <w:r w:rsidR="00BD3481">
        <w:t xml:space="preserve"> </w:t>
      </w:r>
      <w:r w:rsidR="0019694C">
        <w:t xml:space="preserve">three main </w:t>
      </w:r>
      <w:r w:rsidR="00DB7DC4">
        <w:t xml:space="preserve">communities of interest </w:t>
      </w:r>
      <w:r w:rsidR="00197F6B">
        <w:t>in the council area</w:t>
      </w:r>
      <w:r w:rsidR="00096671">
        <w:t>, as well as ‘address anomalies’</w:t>
      </w:r>
      <w:r w:rsidR="00C1280E">
        <w:t xml:space="preserve"> which </w:t>
      </w:r>
      <w:r w:rsidR="00096671">
        <w:t xml:space="preserve">exist in the current structure. </w:t>
      </w:r>
    </w:p>
    <w:p w14:paraId="731126B3" w14:textId="448245FF" w:rsidR="003E5FEB" w:rsidRDefault="00096671" w:rsidP="00EA1C11">
      <w:pPr>
        <w:pStyle w:val="BodyText"/>
      </w:pPr>
      <w:r>
        <w:t xml:space="preserve">Councillor Kurt </w:t>
      </w:r>
      <w:r w:rsidR="005927DA">
        <w:t xml:space="preserve">submitted </w:t>
      </w:r>
      <w:r w:rsidR="0082219B">
        <w:t xml:space="preserve">that </w:t>
      </w:r>
      <w:r w:rsidR="008E4C3D">
        <w:t xml:space="preserve">there </w:t>
      </w:r>
      <w:r w:rsidR="00D206CA">
        <w:t>we</w:t>
      </w:r>
      <w:r w:rsidR="008E4C3D">
        <w:t>re</w:t>
      </w:r>
      <w:r w:rsidR="00851EAF">
        <w:t xml:space="preserve"> three </w:t>
      </w:r>
      <w:r w:rsidR="0019694C">
        <w:t>main</w:t>
      </w:r>
      <w:r w:rsidR="00C1280E">
        <w:t xml:space="preserve"> communities of interest</w:t>
      </w:r>
      <w:r w:rsidR="00705944">
        <w:t xml:space="preserve"> in the City of Hume</w:t>
      </w:r>
      <w:r w:rsidR="0019694C">
        <w:t xml:space="preserve"> –</w:t>
      </w:r>
      <w:r w:rsidR="008E4C3D">
        <w:t xml:space="preserve"> </w:t>
      </w:r>
      <w:r w:rsidR="00851EAF">
        <w:t>the growth areas</w:t>
      </w:r>
      <w:r w:rsidR="0029684E">
        <w:t xml:space="preserve"> in the north</w:t>
      </w:r>
      <w:r w:rsidR="00851EAF">
        <w:t>, the established suburbs in the south, and the rural areas to the west</w:t>
      </w:r>
      <w:r w:rsidR="0077560E">
        <w:t xml:space="preserve"> of which the largest population was in </w:t>
      </w:r>
      <w:r w:rsidR="00851EAF">
        <w:t xml:space="preserve">Sunbury. </w:t>
      </w:r>
      <w:r w:rsidR="0025589C">
        <w:t>He proposed</w:t>
      </w:r>
      <w:r w:rsidR="0082219B">
        <w:t xml:space="preserve"> align</w:t>
      </w:r>
      <w:r w:rsidR="0025589C">
        <w:t>ing</w:t>
      </w:r>
      <w:r w:rsidR="0082219B">
        <w:t xml:space="preserve"> </w:t>
      </w:r>
      <w:r w:rsidR="00705944">
        <w:t xml:space="preserve">council </w:t>
      </w:r>
      <w:r w:rsidR="00851EAF">
        <w:t>ward boundaries</w:t>
      </w:r>
      <w:r w:rsidR="0029684E">
        <w:t xml:space="preserve"> with </w:t>
      </w:r>
      <w:r w:rsidR="00AC5526">
        <w:t>the</w:t>
      </w:r>
      <w:r w:rsidR="00884EEE">
        <w:t xml:space="preserve"> Council’s</w:t>
      </w:r>
      <w:r w:rsidR="00AC5526">
        <w:t xml:space="preserve"> </w:t>
      </w:r>
      <w:r w:rsidR="00851EAF">
        <w:t>Hume Integrated Growth Area Planning (HIGAP) documents</w:t>
      </w:r>
      <w:r w:rsidR="00572120">
        <w:t>, which</w:t>
      </w:r>
      <w:r w:rsidR="00C04A74">
        <w:t xml:space="preserve"> </w:t>
      </w:r>
      <w:r w:rsidR="0047023F">
        <w:t>manag</w:t>
      </w:r>
      <w:r w:rsidR="00705944">
        <w:t>e</w:t>
      </w:r>
      <w:r w:rsidR="0047023F">
        <w:t xml:space="preserve"> and address population </w:t>
      </w:r>
      <w:r w:rsidR="00AC5526">
        <w:t xml:space="preserve">and economic </w:t>
      </w:r>
      <w:r w:rsidR="0047023F">
        <w:t>growth</w:t>
      </w:r>
      <w:r w:rsidR="00BD3481">
        <w:t xml:space="preserve"> </w:t>
      </w:r>
      <w:r w:rsidR="00F06002">
        <w:t>in</w:t>
      </w:r>
      <w:r w:rsidR="0047023F">
        <w:t xml:space="preserve"> the </w:t>
      </w:r>
      <w:r w:rsidR="00BD3481">
        <w:t>City of Hume</w:t>
      </w:r>
      <w:r w:rsidR="0047023F">
        <w:t>.</w:t>
      </w:r>
      <w:r w:rsidR="002557F4">
        <w:t xml:space="preserve"> </w:t>
      </w:r>
      <w:r w:rsidR="00F06002">
        <w:t xml:space="preserve">Councillor Kurt </w:t>
      </w:r>
      <w:r w:rsidR="00B548F4">
        <w:t>had drawn</w:t>
      </w:r>
      <w:r w:rsidR="00AC5526">
        <w:t xml:space="preserve"> on </w:t>
      </w:r>
      <w:r w:rsidR="00B548F4">
        <w:t xml:space="preserve">the </w:t>
      </w:r>
      <w:r w:rsidR="00AC5526">
        <w:t xml:space="preserve">three available </w:t>
      </w:r>
      <w:r w:rsidR="005927DA">
        <w:rPr>
          <w:color w:val="000000"/>
          <w:lang w:val="en"/>
        </w:rPr>
        <w:t>Hume Integrated Growth Area Plan (</w:t>
      </w:r>
      <w:r w:rsidR="00AC5526">
        <w:t>HIGAP</w:t>
      </w:r>
      <w:r w:rsidR="005927DA">
        <w:t>)</w:t>
      </w:r>
      <w:r w:rsidR="00AC5526">
        <w:t xml:space="preserve"> documents</w:t>
      </w:r>
      <w:r w:rsidR="00705944">
        <w:t xml:space="preserve">, which </w:t>
      </w:r>
      <w:r w:rsidR="00884EEE">
        <w:t>included definitions of the areas</w:t>
      </w:r>
      <w:r w:rsidR="00705944">
        <w:t xml:space="preserve"> within </w:t>
      </w:r>
      <w:r w:rsidR="00AC5526">
        <w:t>the</w:t>
      </w:r>
      <w:r w:rsidR="00F06002">
        <w:t xml:space="preserve"> Hume Corridor, Sunbury and the </w:t>
      </w:r>
      <w:r w:rsidR="00D206CA">
        <w:t xml:space="preserve">City’s </w:t>
      </w:r>
      <w:r w:rsidR="00AC5526">
        <w:t xml:space="preserve">rural </w:t>
      </w:r>
      <w:r w:rsidR="00884EEE">
        <w:t>region</w:t>
      </w:r>
      <w:r w:rsidR="00B548F4">
        <w:t>.</w:t>
      </w:r>
      <w:r w:rsidR="002557F4">
        <w:rPr>
          <w:rStyle w:val="FootnoteReference"/>
        </w:rPr>
        <w:footnoteReference w:id="17"/>
      </w:r>
      <w:r w:rsidR="00F06002">
        <w:t xml:space="preserve"> </w:t>
      </w:r>
    </w:p>
    <w:p w14:paraId="7406935D" w14:textId="33A23D0C" w:rsidR="00BD3481" w:rsidRDefault="001B306A" w:rsidP="00EA1C11">
      <w:pPr>
        <w:pStyle w:val="BodyText"/>
      </w:pPr>
      <w:r>
        <w:t xml:space="preserve">Councillor Kurt’s ward boundaries presented several changes. </w:t>
      </w:r>
      <w:r w:rsidR="00D206CA">
        <w:t xml:space="preserve">Notably, </w:t>
      </w:r>
      <w:r>
        <w:t xml:space="preserve">his preferred </w:t>
      </w:r>
      <w:r w:rsidR="003E5FEB">
        <w:t xml:space="preserve">ward boundaries </w:t>
      </w:r>
      <w:r>
        <w:t>included</w:t>
      </w:r>
      <w:r w:rsidR="00D206CA">
        <w:t xml:space="preserve"> </w:t>
      </w:r>
      <w:r w:rsidR="003E5FEB">
        <w:t>exten</w:t>
      </w:r>
      <w:r>
        <w:t>ding</w:t>
      </w:r>
      <w:r w:rsidR="003E5FEB">
        <w:t xml:space="preserve"> </w:t>
      </w:r>
      <w:r w:rsidR="00F06002">
        <w:t>much of</w:t>
      </w:r>
      <w:r w:rsidR="003E5FEB">
        <w:t xml:space="preserve"> the eastern boundary of Jacksons Creek</w:t>
      </w:r>
      <w:r w:rsidR="0029684E">
        <w:t xml:space="preserve"> </w:t>
      </w:r>
      <w:r w:rsidR="00AC5526">
        <w:t>Ward</w:t>
      </w:r>
      <w:r>
        <w:t xml:space="preserve"> (</w:t>
      </w:r>
      <w:r w:rsidR="00A2408A">
        <w:t xml:space="preserve">north of </w:t>
      </w:r>
      <w:r w:rsidR="009D320D">
        <w:t>Somerton Road</w:t>
      </w:r>
      <w:r>
        <w:t>)</w:t>
      </w:r>
      <w:r w:rsidR="003E5FEB">
        <w:t xml:space="preserve"> </w:t>
      </w:r>
      <w:r w:rsidR="009D320D">
        <w:t xml:space="preserve">from </w:t>
      </w:r>
      <w:r>
        <w:t>the current</w:t>
      </w:r>
      <w:r w:rsidR="00705944">
        <w:t xml:space="preserve"> </w:t>
      </w:r>
      <w:r w:rsidR="009D320D">
        <w:t>Deep Creek and Wildwood Road</w:t>
      </w:r>
      <w:r w:rsidR="00AC5526">
        <w:t xml:space="preserve"> boundary</w:t>
      </w:r>
      <w:r w:rsidR="009D320D">
        <w:t xml:space="preserve"> </w:t>
      </w:r>
      <w:r w:rsidR="003E5FEB">
        <w:t>to Mickleham Road</w:t>
      </w:r>
      <w:r w:rsidR="009D320D">
        <w:t xml:space="preserve"> and </w:t>
      </w:r>
      <w:r w:rsidR="00F06002">
        <w:t xml:space="preserve">into parts of </w:t>
      </w:r>
      <w:r w:rsidR="009D320D">
        <w:t>Greenvale west</w:t>
      </w:r>
      <w:r w:rsidR="003E5FEB">
        <w:t xml:space="preserve">. </w:t>
      </w:r>
      <w:r w:rsidR="00F06002">
        <w:t>Councillor Kurt’s proposed</w:t>
      </w:r>
      <w:r w:rsidR="00AC5526">
        <w:t xml:space="preserve"> adjustment of the</w:t>
      </w:r>
      <w:r w:rsidR="00F06002">
        <w:t xml:space="preserve"> Jacksons Creek Ward boundary </w:t>
      </w:r>
      <w:r w:rsidR="00D206CA">
        <w:t>would</w:t>
      </w:r>
      <w:r w:rsidR="003E5FEB">
        <w:t xml:space="preserve"> result in</w:t>
      </w:r>
      <w:r w:rsidR="00BD3481">
        <w:t xml:space="preserve"> the localities of</w:t>
      </w:r>
      <w:r w:rsidR="003E5FEB">
        <w:t xml:space="preserve"> Oaklands Junction, Yuroke</w:t>
      </w:r>
      <w:r w:rsidR="0077560E">
        <w:t xml:space="preserve"> </w:t>
      </w:r>
      <w:r w:rsidR="003E5FEB">
        <w:t xml:space="preserve">and Greenvale west </w:t>
      </w:r>
      <w:r w:rsidR="00705944">
        <w:t xml:space="preserve">being </w:t>
      </w:r>
      <w:r w:rsidR="00AC5526">
        <w:t>within</w:t>
      </w:r>
      <w:r w:rsidR="003E5FEB">
        <w:t xml:space="preserve"> Jacksons Creek Ward. </w:t>
      </w:r>
      <w:r w:rsidR="0077560E">
        <w:t>In the south, Woodlands Historic Park in Meadow Valley Ward would also become a part of Jacksons Creek Ward.</w:t>
      </w:r>
    </w:p>
    <w:p w14:paraId="3B505E2E" w14:textId="08CB22DF" w:rsidR="003E5FEB" w:rsidRDefault="001B306A" w:rsidP="00EA1C11">
      <w:pPr>
        <w:pStyle w:val="BodyText"/>
      </w:pPr>
      <w:r>
        <w:t xml:space="preserve">Councillor Kurt </w:t>
      </w:r>
      <w:r w:rsidR="0077560E">
        <w:t xml:space="preserve">also </w:t>
      </w:r>
      <w:r w:rsidR="005927DA">
        <w:t xml:space="preserve">submitted </w:t>
      </w:r>
      <w:r>
        <w:t xml:space="preserve">that currently Tullamarine and </w:t>
      </w:r>
      <w:r w:rsidR="00DB1F40">
        <w:t>Campbellfield</w:t>
      </w:r>
      <w:r>
        <w:t xml:space="preserve"> were included in wards and alongside communities which they </w:t>
      </w:r>
      <w:r w:rsidR="0077560E">
        <w:t xml:space="preserve">have </w:t>
      </w:r>
      <w:r>
        <w:t xml:space="preserve">had ‘little engagement with’. </w:t>
      </w:r>
      <w:r w:rsidR="005927DA">
        <w:t>C</w:t>
      </w:r>
      <w:r w:rsidR="00352C1B">
        <w:t>ouncillo</w:t>
      </w:r>
      <w:r w:rsidR="005927DA">
        <w:t xml:space="preserve">r </w:t>
      </w:r>
      <w:proofErr w:type="spellStart"/>
      <w:r w:rsidR="005927DA">
        <w:t>Kurrt</w:t>
      </w:r>
      <w:proofErr w:type="spellEnd"/>
      <w:r w:rsidR="005927DA">
        <w:t xml:space="preserve"> </w:t>
      </w:r>
      <w:r w:rsidR="0077560E">
        <w:t>propose</w:t>
      </w:r>
      <w:r w:rsidR="00787813">
        <w:t>d</w:t>
      </w:r>
      <w:r w:rsidR="0077560E">
        <w:t xml:space="preserve"> using</w:t>
      </w:r>
      <w:r w:rsidR="00787813">
        <w:t xml:space="preserve"> </w:t>
      </w:r>
      <w:r>
        <w:t>Somerton Road as the</w:t>
      </w:r>
      <w:r w:rsidR="00DB1F40">
        <w:t xml:space="preserve"> southern</w:t>
      </w:r>
      <w:r>
        <w:t xml:space="preserve"> boundary </w:t>
      </w:r>
      <w:r w:rsidR="00DB1F40">
        <w:t>of Aitken Ward</w:t>
      </w:r>
      <w:r>
        <w:t xml:space="preserve">, which would enable Campbellfield to become a part of Meadow Valley </w:t>
      </w:r>
      <w:r>
        <w:lastRenderedPageBreak/>
        <w:t>Ward</w:t>
      </w:r>
      <w:r w:rsidR="00787813">
        <w:t xml:space="preserve">. </w:t>
      </w:r>
      <w:r>
        <w:t xml:space="preserve">Another </w:t>
      </w:r>
      <w:r w:rsidR="00AC5526">
        <w:t xml:space="preserve">proposed </w:t>
      </w:r>
      <w:r w:rsidR="009D320D">
        <w:t>boundary adjustment</w:t>
      </w:r>
      <w:r>
        <w:t xml:space="preserve"> </w:t>
      </w:r>
      <w:r w:rsidR="009D320D">
        <w:t>would result in</w:t>
      </w:r>
      <w:r w:rsidR="00BD3481">
        <w:t xml:space="preserve"> Tullamarine (</w:t>
      </w:r>
      <w:r w:rsidR="00AC5526">
        <w:t>remain</w:t>
      </w:r>
      <w:r w:rsidR="00787813">
        <w:t>ing</w:t>
      </w:r>
      <w:r w:rsidR="00BD3481">
        <w:t xml:space="preserve"> in Jacksons Creek Ward</w:t>
      </w:r>
      <w:r w:rsidR="00AC5526">
        <w:t xml:space="preserve"> in the VEC’s</w:t>
      </w:r>
      <w:r w:rsidR="00787813">
        <w:t xml:space="preserve"> proposal</w:t>
      </w:r>
      <w:r w:rsidR="00BD3481">
        <w:t>) be</w:t>
      </w:r>
      <w:r w:rsidR="000E0176">
        <w:t>com</w:t>
      </w:r>
      <w:r w:rsidR="009D320D">
        <w:t>ing</w:t>
      </w:r>
      <w:r w:rsidR="000E0176">
        <w:t xml:space="preserve"> a part of</w:t>
      </w:r>
      <w:r w:rsidR="00BD3481">
        <w:t xml:space="preserve"> </w:t>
      </w:r>
      <w:r w:rsidR="003E5FEB">
        <w:t>Meadow Valley Ward.</w:t>
      </w:r>
      <w:r w:rsidR="00787813">
        <w:t xml:space="preserve"> </w:t>
      </w:r>
    </w:p>
    <w:p w14:paraId="1539ED3F" w14:textId="43696A20" w:rsidR="003E5FEB" w:rsidRDefault="003E5FEB" w:rsidP="00EA1C11">
      <w:pPr>
        <w:pStyle w:val="BodyText"/>
      </w:pPr>
      <w:r>
        <w:t xml:space="preserve">Councillor Kurt </w:t>
      </w:r>
      <w:r w:rsidR="00D206CA">
        <w:t>concluded that</w:t>
      </w:r>
      <w:r w:rsidR="000E0176">
        <w:t xml:space="preserve"> </w:t>
      </w:r>
      <w:r w:rsidR="00197F6B">
        <w:t>his</w:t>
      </w:r>
      <w:r w:rsidR="000E0176">
        <w:t xml:space="preserve"> </w:t>
      </w:r>
      <w:r w:rsidR="00C04A74">
        <w:t>alternative</w:t>
      </w:r>
      <w:r w:rsidR="001B306A">
        <w:t xml:space="preserve"> proposal</w:t>
      </w:r>
      <w:r w:rsidR="00C04A74">
        <w:t xml:space="preserve"> </w:t>
      </w:r>
      <w:r>
        <w:t xml:space="preserve">would result in wards, which </w:t>
      </w:r>
      <w:r w:rsidR="00787813">
        <w:t>‘</w:t>
      </w:r>
      <w:r>
        <w:t>consign</w:t>
      </w:r>
      <w:r w:rsidR="00D206CA">
        <w:t>ed</w:t>
      </w:r>
      <w:r w:rsidR="00787813">
        <w:t xml:space="preserve">’ </w:t>
      </w:r>
      <w:r w:rsidR="000E0176">
        <w:t>areas to</w:t>
      </w:r>
      <w:r w:rsidR="00787813">
        <w:t xml:space="preserve"> ‘like-type wards’</w:t>
      </w:r>
      <w:r w:rsidR="000E0176">
        <w:t xml:space="preserve">. </w:t>
      </w:r>
      <w:r w:rsidR="009D320D">
        <w:t>He</w:t>
      </w:r>
      <w:r w:rsidR="000E0176">
        <w:t xml:space="preserve"> argue</w:t>
      </w:r>
      <w:r w:rsidR="009D320D">
        <w:t>d</w:t>
      </w:r>
      <w:r w:rsidR="000E0176">
        <w:t xml:space="preserve"> that </w:t>
      </w:r>
      <w:r w:rsidR="00787813">
        <w:t>his boundaries were preferabl</w:t>
      </w:r>
      <w:r w:rsidR="00D206CA">
        <w:t xml:space="preserve">e </w:t>
      </w:r>
      <w:r w:rsidR="00787813">
        <w:t>because they would</w:t>
      </w:r>
      <w:r w:rsidR="000E0176">
        <w:t xml:space="preserve"> enabl</w:t>
      </w:r>
      <w:r w:rsidR="009D320D">
        <w:t>e</w:t>
      </w:r>
      <w:r w:rsidR="000E0176">
        <w:t xml:space="preserve"> councillors to focus </w:t>
      </w:r>
      <w:r w:rsidR="00787813">
        <w:t xml:space="preserve">more exclusively </w:t>
      </w:r>
      <w:r w:rsidR="000E0176">
        <w:t xml:space="preserve">on the issues relevant to their </w:t>
      </w:r>
      <w:r w:rsidR="00787813">
        <w:t>ward</w:t>
      </w:r>
      <w:r w:rsidR="00197F6B">
        <w:t xml:space="preserve"> and </w:t>
      </w:r>
      <w:r w:rsidR="001B306A">
        <w:t xml:space="preserve">because they would </w:t>
      </w:r>
      <w:r w:rsidR="00197F6B">
        <w:t xml:space="preserve">align with the Council’s </w:t>
      </w:r>
      <w:r w:rsidR="001B306A">
        <w:t>strategies</w:t>
      </w:r>
      <w:r w:rsidR="00705944">
        <w:t>.</w:t>
      </w:r>
    </w:p>
    <w:p w14:paraId="6A4F37E4" w14:textId="77777777" w:rsidR="009766E4" w:rsidRDefault="00AC473D" w:rsidP="009766E4">
      <w:pPr>
        <w:pStyle w:val="Heading3"/>
      </w:pPr>
      <w:r>
        <w:t>Out of scope</w:t>
      </w:r>
    </w:p>
    <w:p w14:paraId="7C2013E5" w14:textId="77777777" w:rsidR="00C04A74" w:rsidRDefault="000E0176" w:rsidP="000E0176">
      <w:pPr>
        <w:pStyle w:val="BodyText"/>
      </w:pPr>
      <w:r>
        <w:t xml:space="preserve">The VEC received </w:t>
      </w:r>
      <w:r w:rsidR="00C04A74">
        <w:t>one</w:t>
      </w:r>
      <w:r>
        <w:t xml:space="preserve"> submission</w:t>
      </w:r>
      <w:r w:rsidR="00C04A74">
        <w:t xml:space="preserve"> that was out of </w:t>
      </w:r>
      <w:r w:rsidR="00197F6B">
        <w:t>scope</w:t>
      </w:r>
      <w:r w:rsidR="00C04A74">
        <w:t xml:space="preserve">. </w:t>
      </w:r>
    </w:p>
    <w:p w14:paraId="75A831DF" w14:textId="284FDF4C" w:rsidR="00AF584F" w:rsidRDefault="00C04A74" w:rsidP="000E0176">
      <w:pPr>
        <w:pStyle w:val="BodyText"/>
      </w:pPr>
      <w:r>
        <w:t xml:space="preserve">In a submission, </w:t>
      </w:r>
      <w:r w:rsidR="000E0176">
        <w:t xml:space="preserve">Elaine Brogan of Sunbury </w:t>
      </w:r>
      <w:r w:rsidR="006027E9">
        <w:t>advocated for the</w:t>
      </w:r>
      <w:r w:rsidR="004B6AB2">
        <w:t xml:space="preserve"> </w:t>
      </w:r>
      <w:r w:rsidR="002F2328">
        <w:t xml:space="preserve">Sunbury </w:t>
      </w:r>
      <w:r w:rsidR="00AF584F">
        <w:t xml:space="preserve">region </w:t>
      </w:r>
      <w:r w:rsidR="004B6AB2">
        <w:t xml:space="preserve">to constitute </w:t>
      </w:r>
      <w:r w:rsidR="002F2328">
        <w:t xml:space="preserve">a standalone council. </w:t>
      </w:r>
      <w:r w:rsidR="004B6AB2">
        <w:t xml:space="preserve">Ms Brogan </w:t>
      </w:r>
      <w:r>
        <w:t>explained</w:t>
      </w:r>
      <w:r w:rsidR="00161AC2">
        <w:t xml:space="preserve"> that </w:t>
      </w:r>
      <w:r w:rsidR="004B6AB2">
        <w:t xml:space="preserve">Sunbury </w:t>
      </w:r>
      <w:r w:rsidR="00161AC2">
        <w:t>‘was and would still like to be a lovely country village</w:t>
      </w:r>
      <w:r w:rsidR="00AF584F">
        <w:t>’</w:t>
      </w:r>
      <w:r w:rsidR="00161AC2">
        <w:t xml:space="preserve">. However, </w:t>
      </w:r>
      <w:r w:rsidR="00197F6B">
        <w:t>due to</w:t>
      </w:r>
      <w:r w:rsidR="00161AC2">
        <w:t xml:space="preserve"> continued </w:t>
      </w:r>
      <w:r w:rsidR="0057520B">
        <w:t>residential and urban development</w:t>
      </w:r>
      <w:r w:rsidR="00161AC2">
        <w:t xml:space="preserve">, </w:t>
      </w:r>
      <w:r w:rsidR="00AF584F">
        <w:t xml:space="preserve">the Sunbury area </w:t>
      </w:r>
      <w:r w:rsidR="00161AC2">
        <w:t>had</w:t>
      </w:r>
      <w:r w:rsidR="004B6AB2">
        <w:t xml:space="preserve"> </w:t>
      </w:r>
      <w:r w:rsidR="00161AC2">
        <w:t>n</w:t>
      </w:r>
      <w:r w:rsidR="000E0176">
        <w:t>ot</w:t>
      </w:r>
      <w:r w:rsidR="004B6AB2">
        <w:t xml:space="preserve"> receiv</w:t>
      </w:r>
      <w:r w:rsidR="00161AC2">
        <w:t>ed</w:t>
      </w:r>
      <w:r w:rsidR="004B6AB2">
        <w:t xml:space="preserve"> a</w:t>
      </w:r>
      <w:r w:rsidR="006027E9">
        <w:t>dequate</w:t>
      </w:r>
      <w:r w:rsidR="004B6AB2">
        <w:t xml:space="preserve"> infrastructure</w:t>
      </w:r>
      <w:r w:rsidR="001B306A">
        <w:t xml:space="preserve"> or support for conserving the</w:t>
      </w:r>
      <w:r w:rsidR="004B6AB2">
        <w:t xml:space="preserve"> landscape</w:t>
      </w:r>
      <w:r w:rsidR="006027E9">
        <w:t xml:space="preserve"> </w:t>
      </w:r>
      <w:r w:rsidR="00161AC2">
        <w:t xml:space="preserve">and cultural heritage in </w:t>
      </w:r>
      <w:r w:rsidR="00AF584F">
        <w:t>and around Sunbury</w:t>
      </w:r>
      <w:r w:rsidR="001B306A">
        <w:t>.</w:t>
      </w:r>
      <w:r w:rsidR="00161AC2">
        <w:t xml:space="preserve"> </w:t>
      </w:r>
      <w:r w:rsidR="005927DA">
        <w:t xml:space="preserve">Ms Brogan </w:t>
      </w:r>
      <w:r w:rsidR="00161AC2">
        <w:t xml:space="preserve">believed that with the continued growth of Tullamarine within Jacksons Creek Ward, Sunbury and surrounds could operate as an independent council area. </w:t>
      </w:r>
    </w:p>
    <w:p w14:paraId="508E379D" w14:textId="77777777" w:rsidR="00705944" w:rsidRPr="005D05B8" w:rsidRDefault="006027E9" w:rsidP="005D05B8">
      <w:pPr>
        <w:pStyle w:val="BodyText"/>
      </w:pPr>
      <w:r>
        <w:t xml:space="preserve">The VEC </w:t>
      </w:r>
      <w:r w:rsidR="000E0176">
        <w:t>could not consider this submission</w:t>
      </w:r>
      <w:r w:rsidR="009766E4">
        <w:t xml:space="preserve"> </w:t>
      </w:r>
      <w:r w:rsidR="000E0176">
        <w:t xml:space="preserve">because it sought to change the </w:t>
      </w:r>
      <w:r w:rsidR="00AF584F">
        <w:t xml:space="preserve">Council’s </w:t>
      </w:r>
      <w:r w:rsidR="000E0176">
        <w:t xml:space="preserve">external boundaries. </w:t>
      </w:r>
    </w:p>
    <w:p w14:paraId="7AF868C2" w14:textId="77777777" w:rsidR="007E7FE1" w:rsidRPr="00AC5FFA" w:rsidRDefault="007E7FE1" w:rsidP="00F5118B">
      <w:pPr>
        <w:pStyle w:val="Heading2numbered"/>
      </w:pPr>
      <w:bookmarkStart w:id="13" w:name="_Toc37332247"/>
      <w:r w:rsidRPr="00AC5FFA">
        <w:t>Public hearing</w:t>
      </w:r>
      <w:bookmarkEnd w:id="13"/>
    </w:p>
    <w:p w14:paraId="26D7DBCE" w14:textId="391CD730" w:rsidR="007E7FE1" w:rsidRDefault="007E7FE1" w:rsidP="00016DEC">
      <w:pPr>
        <w:pStyle w:val="BodyText"/>
      </w:pPr>
      <w:r w:rsidRPr="00AC5FFA">
        <w:t xml:space="preserve">The </w:t>
      </w:r>
      <w:r w:rsidRPr="006E45BA">
        <w:t xml:space="preserve">VEC conducted a public hearing </w:t>
      </w:r>
      <w:r w:rsidR="005F529C">
        <w:t>via Cisco</w:t>
      </w:r>
      <w:r w:rsidR="005927DA">
        <w:t xml:space="preserve"> </w:t>
      </w:r>
      <w:proofErr w:type="spellStart"/>
      <w:r w:rsidR="005F529C">
        <w:t>Webex</w:t>
      </w:r>
      <w:proofErr w:type="spellEnd"/>
      <w:r w:rsidR="005F529C">
        <w:t xml:space="preserve"> </w:t>
      </w:r>
      <w:r w:rsidRPr="006E45BA">
        <w:t xml:space="preserve">for those wishing to speak about their response submission at </w:t>
      </w:r>
      <w:r w:rsidRPr="006E45BA">
        <w:rPr>
          <w:noProof/>
        </w:rPr>
        <w:t>7.00 pm</w:t>
      </w:r>
      <w:r w:rsidRPr="006E45BA">
        <w:t xml:space="preserve"> on </w:t>
      </w:r>
      <w:r w:rsidRPr="006E45BA">
        <w:rPr>
          <w:noProof/>
        </w:rPr>
        <w:t>Monday 30 March 2020</w:t>
      </w:r>
      <w:r w:rsidRPr="006E45BA">
        <w:t xml:space="preserve">. </w:t>
      </w:r>
      <w:r w:rsidR="006A6788">
        <w:t xml:space="preserve">Two people spoke at the public hearing, Charlie </w:t>
      </w:r>
      <w:proofErr w:type="spellStart"/>
      <w:r w:rsidR="006A6788">
        <w:t>Grech</w:t>
      </w:r>
      <w:proofErr w:type="spellEnd"/>
      <w:r w:rsidR="006A6788">
        <w:t>, Secretary of Greenvale Residents Association Inc</w:t>
      </w:r>
      <w:r w:rsidR="000D7544">
        <w:t>orporated</w:t>
      </w:r>
      <w:r w:rsidR="006A6788">
        <w:t xml:space="preserve"> and Councillor </w:t>
      </w:r>
      <w:proofErr w:type="spellStart"/>
      <w:r w:rsidR="006A6788">
        <w:t>Naim</w:t>
      </w:r>
      <w:proofErr w:type="spellEnd"/>
      <w:r w:rsidR="006A6788">
        <w:t xml:space="preserve"> Kurt</w:t>
      </w:r>
      <w:r w:rsidR="009F6AB2">
        <w:t xml:space="preserve"> of Meadow Valley Ward.</w:t>
      </w:r>
      <w:r w:rsidR="006A6788">
        <w:t xml:space="preserve"> </w:t>
      </w:r>
    </w:p>
    <w:p w14:paraId="42183518" w14:textId="77777777" w:rsidR="004B6AB2" w:rsidRDefault="005D39E6" w:rsidP="009312E0">
      <w:pPr>
        <w:pStyle w:val="Heading3"/>
      </w:pPr>
      <w:r>
        <w:t>Greenvale Residents</w:t>
      </w:r>
      <w:r w:rsidR="00BE4313">
        <w:t>’</w:t>
      </w:r>
      <w:r>
        <w:t xml:space="preserve"> Association Incorporated </w:t>
      </w:r>
      <w:r w:rsidR="00A60900">
        <w:t>on</w:t>
      </w:r>
      <w:r>
        <w:t xml:space="preserve"> uniting Greenvale</w:t>
      </w:r>
    </w:p>
    <w:p w14:paraId="35B9A998" w14:textId="487B13AC" w:rsidR="005A3524" w:rsidRDefault="00527BF9" w:rsidP="005A3524">
      <w:pPr>
        <w:pStyle w:val="BodyText"/>
      </w:pPr>
      <w:r>
        <w:t xml:space="preserve">At the public hearing, </w:t>
      </w:r>
      <w:r w:rsidR="006A6788">
        <w:t xml:space="preserve">Mr </w:t>
      </w:r>
      <w:proofErr w:type="spellStart"/>
      <w:r w:rsidR="006A6788">
        <w:t>Grech</w:t>
      </w:r>
      <w:proofErr w:type="spellEnd"/>
      <w:r w:rsidR="006A6788">
        <w:t xml:space="preserve"> </w:t>
      </w:r>
      <w:r w:rsidR="0019694C">
        <w:t>stated</w:t>
      </w:r>
      <w:r w:rsidR="00672A13">
        <w:t xml:space="preserve"> that</w:t>
      </w:r>
      <w:r w:rsidR="003162F0">
        <w:t xml:space="preserve"> </w:t>
      </w:r>
      <w:r>
        <w:t xml:space="preserve">Greenvale </w:t>
      </w:r>
      <w:r w:rsidR="000D7544">
        <w:t xml:space="preserve">would continue to be </w:t>
      </w:r>
      <w:r>
        <w:t>disadvantaged by the VEC’s proposed ward boundar</w:t>
      </w:r>
      <w:r w:rsidR="0019694C">
        <w:t>y adjustments</w:t>
      </w:r>
      <w:r>
        <w:t xml:space="preserve">. </w:t>
      </w:r>
      <w:r w:rsidR="005A3524">
        <w:t xml:space="preserve">Mr </w:t>
      </w:r>
      <w:proofErr w:type="spellStart"/>
      <w:r w:rsidR="005A3524">
        <w:t>Grech</w:t>
      </w:r>
      <w:proofErr w:type="spellEnd"/>
      <w:r w:rsidR="005A3524">
        <w:t xml:space="preserve"> explained that there had been one councillor who recently moved into Greenvale but prior to that</w:t>
      </w:r>
      <w:r w:rsidR="00E458DC">
        <w:t>,</w:t>
      </w:r>
      <w:r w:rsidR="005A3524">
        <w:t xml:space="preserve"> all Aitken and Meadow Valley Ward councillors were ‘voted in’ from areas outside of Greenvale. </w:t>
      </w:r>
      <w:r w:rsidR="00EC0731">
        <w:t xml:space="preserve">Mr </w:t>
      </w:r>
      <w:proofErr w:type="spellStart"/>
      <w:r w:rsidR="00EC0731">
        <w:t>Grech</w:t>
      </w:r>
      <w:proofErr w:type="spellEnd"/>
      <w:r w:rsidR="00EC0731">
        <w:t xml:space="preserve"> </w:t>
      </w:r>
      <w:r w:rsidR="005A3524">
        <w:t xml:space="preserve">advocated for Greenvale north and south of Somerton Road to be </w:t>
      </w:r>
      <w:r w:rsidR="00DB1F40">
        <w:t>in one ward</w:t>
      </w:r>
      <w:r w:rsidR="005A3524">
        <w:t>, which would increase their chance of electing a dedicated representative, as well as providing just one set of councillors for residents to approach.</w:t>
      </w:r>
    </w:p>
    <w:p w14:paraId="2EABF7D3" w14:textId="77777777" w:rsidR="0003079F" w:rsidRDefault="008718F4" w:rsidP="00016DEC">
      <w:pPr>
        <w:pStyle w:val="BodyText"/>
      </w:pPr>
      <w:r>
        <w:t>Responding to questions</w:t>
      </w:r>
      <w:r w:rsidR="00527BF9">
        <w:t xml:space="preserve"> from the</w:t>
      </w:r>
      <w:r w:rsidR="00EF4CBD">
        <w:t xml:space="preserve"> VEC</w:t>
      </w:r>
      <w:r>
        <w:t xml:space="preserve">, </w:t>
      </w:r>
      <w:r w:rsidR="006A6788">
        <w:t xml:space="preserve">Mr </w:t>
      </w:r>
      <w:proofErr w:type="spellStart"/>
      <w:r w:rsidR="006A6788">
        <w:t>Grech</w:t>
      </w:r>
      <w:proofErr w:type="spellEnd"/>
      <w:r w:rsidR="004A3A45">
        <w:t xml:space="preserve"> </w:t>
      </w:r>
      <w:r w:rsidR="000F2665">
        <w:t>confirme</w:t>
      </w:r>
      <w:r w:rsidR="004A3A45">
        <w:t>d that</w:t>
      </w:r>
      <w:r w:rsidR="000F2665">
        <w:t xml:space="preserve"> </w:t>
      </w:r>
      <w:r w:rsidR="00E046FC">
        <w:t xml:space="preserve">Greenvale </w:t>
      </w:r>
      <w:r w:rsidR="001754FF">
        <w:t xml:space="preserve">north of Somerton Road </w:t>
      </w:r>
      <w:r w:rsidR="004A3A45">
        <w:t xml:space="preserve">was predominantly rural up until about </w:t>
      </w:r>
      <w:r w:rsidR="00E53390">
        <w:t>eight or 10 years’</w:t>
      </w:r>
      <w:r w:rsidR="004A3A45">
        <w:t xml:space="preserve"> ago</w:t>
      </w:r>
      <w:r w:rsidR="001D7D31">
        <w:t xml:space="preserve"> </w:t>
      </w:r>
      <w:r w:rsidR="00D606B0">
        <w:t>but</w:t>
      </w:r>
      <w:r w:rsidR="000F2665">
        <w:t xml:space="preserve"> </w:t>
      </w:r>
      <w:r w:rsidR="004A3A45">
        <w:t xml:space="preserve">was </w:t>
      </w:r>
      <w:r w:rsidR="004A3A45">
        <w:lastRenderedPageBreak/>
        <w:t>now</w:t>
      </w:r>
      <w:r w:rsidR="00147C4E">
        <w:t xml:space="preserve"> characterised</w:t>
      </w:r>
      <w:r w:rsidR="006A6788">
        <w:t xml:space="preserve"> by </w:t>
      </w:r>
      <w:r>
        <w:t xml:space="preserve">newer </w:t>
      </w:r>
      <w:r w:rsidR="00E046FC">
        <w:t>residential development</w:t>
      </w:r>
      <w:r w:rsidR="004A3A45">
        <w:t xml:space="preserve">. </w:t>
      </w:r>
      <w:r w:rsidR="006A6788">
        <w:t>Greenvale south</w:t>
      </w:r>
      <w:r w:rsidR="000F2665">
        <w:t>, on the other hand,</w:t>
      </w:r>
      <w:r w:rsidR="006A6788">
        <w:t xml:space="preserve"> </w:t>
      </w:r>
      <w:r w:rsidR="00E046FC">
        <w:t>was distinguished by its</w:t>
      </w:r>
      <w:r w:rsidR="001754FF">
        <w:t xml:space="preserve"> </w:t>
      </w:r>
      <w:r w:rsidR="006A6788">
        <w:t>established</w:t>
      </w:r>
      <w:r w:rsidR="00147C4E">
        <w:t xml:space="preserve"> residential areas</w:t>
      </w:r>
      <w:r w:rsidR="009359B2">
        <w:t>.</w:t>
      </w:r>
      <w:r w:rsidR="006A6788">
        <w:t xml:space="preserve"> </w:t>
      </w:r>
      <w:r w:rsidR="001D7D31">
        <w:t>He acknowledged that</w:t>
      </w:r>
      <w:r w:rsidR="00147C4E">
        <w:t xml:space="preserve"> there were</w:t>
      </w:r>
      <w:r w:rsidR="009359B2">
        <w:t xml:space="preserve"> some different issues</w:t>
      </w:r>
      <w:r w:rsidR="00147C4E">
        <w:t xml:space="preserve"> for residents </w:t>
      </w:r>
      <w:r w:rsidR="009359B2">
        <w:t xml:space="preserve">north and south of </w:t>
      </w:r>
      <w:r w:rsidR="001D7D31">
        <w:t xml:space="preserve">Somerton </w:t>
      </w:r>
      <w:r w:rsidR="00657079">
        <w:t>Road,</w:t>
      </w:r>
      <w:r w:rsidR="001D7D31">
        <w:t xml:space="preserve"> but</w:t>
      </w:r>
      <w:r w:rsidR="000F2665">
        <w:t xml:space="preserve"> </w:t>
      </w:r>
      <w:r w:rsidR="009359B2">
        <w:t>emphasised</w:t>
      </w:r>
      <w:r>
        <w:t xml:space="preserve"> that</w:t>
      </w:r>
      <w:r w:rsidR="00147C4E">
        <w:t xml:space="preserve"> </w:t>
      </w:r>
      <w:r w:rsidR="00D606B0">
        <w:t>Greenvale Residents</w:t>
      </w:r>
      <w:r w:rsidR="00DB1F40">
        <w:t>’</w:t>
      </w:r>
      <w:r w:rsidR="00D606B0">
        <w:t xml:space="preserve"> A</w:t>
      </w:r>
      <w:r w:rsidR="00147C4E">
        <w:t>ssociation</w:t>
      </w:r>
      <w:r>
        <w:t xml:space="preserve"> represented </w:t>
      </w:r>
      <w:r w:rsidR="00E046FC">
        <w:t>all</w:t>
      </w:r>
      <w:r>
        <w:t xml:space="preserve"> of Greenvale. </w:t>
      </w:r>
    </w:p>
    <w:p w14:paraId="164F17B2" w14:textId="77777777" w:rsidR="00E046FC" w:rsidRDefault="00E046FC" w:rsidP="00E046FC">
      <w:pPr>
        <w:pStyle w:val="BodyText"/>
      </w:pPr>
      <w:r>
        <w:t xml:space="preserve">Mr </w:t>
      </w:r>
      <w:proofErr w:type="spellStart"/>
      <w:r>
        <w:t>Grech</w:t>
      </w:r>
      <w:proofErr w:type="spellEnd"/>
      <w:r>
        <w:t xml:space="preserve"> </w:t>
      </w:r>
      <w:r w:rsidR="005A3524">
        <w:t xml:space="preserve">further explained that </w:t>
      </w:r>
      <w:r>
        <w:t xml:space="preserve">despite having eight councillors to approach, </w:t>
      </w:r>
      <w:r w:rsidR="00B6174B">
        <w:t xml:space="preserve">councillors </w:t>
      </w:r>
      <w:r w:rsidR="005A3524">
        <w:t xml:space="preserve">in both Aitken and Meadow Valley Wards </w:t>
      </w:r>
      <w:r w:rsidR="00B6174B">
        <w:t xml:space="preserve">could be ‘remote’; they served diverse interests; and they were more likely to neglect Greenvale when there were pressures </w:t>
      </w:r>
      <w:r w:rsidR="001072C3">
        <w:t>from</w:t>
      </w:r>
      <w:r w:rsidR="00B6174B">
        <w:t xml:space="preserve"> other </w:t>
      </w:r>
      <w:r w:rsidR="00851B41">
        <w:t xml:space="preserve">communities and </w:t>
      </w:r>
      <w:r w:rsidR="00B6174B">
        <w:t xml:space="preserve">areas. He </w:t>
      </w:r>
      <w:r w:rsidR="00DB1F40">
        <w:t xml:space="preserve">also </w:t>
      </w:r>
      <w:r w:rsidR="00B6174B">
        <w:t xml:space="preserve">commented that </w:t>
      </w:r>
      <w:r>
        <w:t xml:space="preserve">four-councillor wards were ‘very big’ and that ultimately, smaller wards would better serve communities within the </w:t>
      </w:r>
      <w:r w:rsidR="001072C3">
        <w:t>City of Hume</w:t>
      </w:r>
      <w:r>
        <w:t xml:space="preserve">. </w:t>
      </w:r>
    </w:p>
    <w:p w14:paraId="734CCA6C" w14:textId="77777777" w:rsidR="00851B41" w:rsidRPr="005D05B8" w:rsidRDefault="005A3524" w:rsidP="005D05B8">
      <w:pPr>
        <w:pStyle w:val="BodyText"/>
      </w:pPr>
      <w:r>
        <w:t xml:space="preserve">Responding to questions from the VEC, </w:t>
      </w:r>
      <w:r w:rsidR="00E200CC">
        <w:t xml:space="preserve">Mr </w:t>
      </w:r>
      <w:proofErr w:type="spellStart"/>
      <w:r w:rsidR="00E200CC">
        <w:t>Grech</w:t>
      </w:r>
      <w:proofErr w:type="spellEnd"/>
      <w:r w:rsidR="00527BF9">
        <w:t xml:space="preserve"> </w:t>
      </w:r>
      <w:r w:rsidR="00D606B0">
        <w:t>considered</w:t>
      </w:r>
      <w:r w:rsidR="00527BF9">
        <w:t xml:space="preserve"> Meadow Valley Ward </w:t>
      </w:r>
      <w:r w:rsidR="0003079F">
        <w:t xml:space="preserve">more appropriate </w:t>
      </w:r>
      <w:r w:rsidR="00E046FC">
        <w:t>for</w:t>
      </w:r>
      <w:r w:rsidR="001754FF">
        <w:t xml:space="preserve"> the whole of Greenvale</w:t>
      </w:r>
      <w:r>
        <w:t xml:space="preserve"> to be united within</w:t>
      </w:r>
      <w:r w:rsidR="0003079F">
        <w:t>.</w:t>
      </w:r>
      <w:r w:rsidR="00E200CC">
        <w:t xml:space="preserve"> </w:t>
      </w:r>
      <w:r w:rsidR="00B6174B">
        <w:t>He</w:t>
      </w:r>
      <w:r w:rsidR="00E200CC">
        <w:t xml:space="preserve"> </w:t>
      </w:r>
      <w:r w:rsidR="00DB1F40">
        <w:t>noted that</w:t>
      </w:r>
      <w:r w:rsidR="00E200CC">
        <w:t xml:space="preserve"> Greenvale </w:t>
      </w:r>
      <w:r w:rsidR="00147C4E">
        <w:t xml:space="preserve">had more </w:t>
      </w:r>
      <w:r w:rsidR="00E200CC">
        <w:t>c</w:t>
      </w:r>
      <w:r w:rsidR="00397515">
        <w:t xml:space="preserve">ommonalities </w:t>
      </w:r>
      <w:r w:rsidR="00E200CC">
        <w:t xml:space="preserve">with Attwood </w:t>
      </w:r>
      <w:r w:rsidR="001402F0">
        <w:t>to</w:t>
      </w:r>
      <w:r w:rsidR="00E200CC">
        <w:t xml:space="preserve"> the south</w:t>
      </w:r>
      <w:r w:rsidR="001754FF">
        <w:t>,</w:t>
      </w:r>
      <w:r w:rsidR="00E200CC">
        <w:t xml:space="preserve"> than Craigieburn</w:t>
      </w:r>
      <w:r w:rsidR="00D606B0">
        <w:t xml:space="preserve"> to the north</w:t>
      </w:r>
      <w:r w:rsidR="00397515">
        <w:t xml:space="preserve"> which was ‘quite some kilometres away’</w:t>
      </w:r>
      <w:r w:rsidR="00E200CC">
        <w:t>.</w:t>
      </w:r>
      <w:r w:rsidR="0003079F">
        <w:t xml:space="preserve"> </w:t>
      </w:r>
    </w:p>
    <w:p w14:paraId="63FE8B5E" w14:textId="77777777" w:rsidR="006B54D7" w:rsidRDefault="006B54D7" w:rsidP="00A679EC">
      <w:pPr>
        <w:pStyle w:val="BodyText"/>
        <w:rPr>
          <w:b/>
          <w:bCs/>
        </w:rPr>
      </w:pPr>
      <w:r>
        <w:rPr>
          <w:b/>
          <w:bCs/>
        </w:rPr>
        <w:t>Mickleham Road</w:t>
      </w:r>
      <w:r w:rsidR="00D57067">
        <w:rPr>
          <w:b/>
          <w:bCs/>
        </w:rPr>
        <w:t xml:space="preserve"> </w:t>
      </w:r>
      <w:r>
        <w:rPr>
          <w:b/>
          <w:bCs/>
        </w:rPr>
        <w:t>boundary</w:t>
      </w:r>
    </w:p>
    <w:p w14:paraId="373571FC" w14:textId="386E6B7C" w:rsidR="006B54D7" w:rsidRPr="006B54D7" w:rsidRDefault="006B54D7" w:rsidP="00A679EC">
      <w:pPr>
        <w:pStyle w:val="BodyText"/>
      </w:pPr>
      <w:r>
        <w:t xml:space="preserve">Mr </w:t>
      </w:r>
      <w:proofErr w:type="spellStart"/>
      <w:r>
        <w:t>Grech</w:t>
      </w:r>
      <w:proofErr w:type="spellEnd"/>
      <w:r>
        <w:t xml:space="preserve"> </w:t>
      </w:r>
      <w:r w:rsidR="00B6174B">
        <w:t xml:space="preserve">was also asked </w:t>
      </w:r>
      <w:r>
        <w:t xml:space="preserve">whether </w:t>
      </w:r>
      <w:r w:rsidR="00851B41">
        <w:t>Greenvale</w:t>
      </w:r>
      <w:r w:rsidR="001276D1">
        <w:t xml:space="preserve"> </w:t>
      </w:r>
      <w:r w:rsidR="00851B41">
        <w:t>R</w:t>
      </w:r>
      <w:r w:rsidR="001276D1">
        <w:t>esidents’</w:t>
      </w:r>
      <w:r w:rsidR="00C51903">
        <w:t xml:space="preserve"> </w:t>
      </w:r>
      <w:r w:rsidR="00851B41">
        <w:t>A</w:t>
      </w:r>
      <w:r w:rsidR="00C51903">
        <w:t>ssociation</w:t>
      </w:r>
      <w:r>
        <w:t xml:space="preserve"> would support extending the eastern boundary of Jacksons Creek to Mickleham Road. </w:t>
      </w:r>
      <w:r w:rsidR="00EC0731">
        <w:t xml:space="preserve">Mr </w:t>
      </w:r>
      <w:proofErr w:type="spellStart"/>
      <w:r w:rsidR="00EC0731">
        <w:t>Grech</w:t>
      </w:r>
      <w:proofErr w:type="spellEnd"/>
      <w:r w:rsidR="00EC0731">
        <w:t xml:space="preserve"> </w:t>
      </w:r>
      <w:r>
        <w:t xml:space="preserve">did not consider Mickleham Road </w:t>
      </w:r>
      <w:r w:rsidR="00B6174B">
        <w:t>appropriate</w:t>
      </w:r>
      <w:r w:rsidR="001276D1">
        <w:t xml:space="preserve"> and </w:t>
      </w:r>
      <w:r w:rsidR="00DB1F40">
        <w:t>commente</w:t>
      </w:r>
      <w:r w:rsidR="001276D1">
        <w:t>d that</w:t>
      </w:r>
      <w:r>
        <w:t xml:space="preserve"> it would divide Greenvale</w:t>
      </w:r>
      <w:r w:rsidR="001754FF">
        <w:t xml:space="preserve">. </w:t>
      </w:r>
    </w:p>
    <w:p w14:paraId="1862AC69" w14:textId="77777777" w:rsidR="0024036A" w:rsidRDefault="00CC318C" w:rsidP="009312E0">
      <w:pPr>
        <w:pStyle w:val="Heading3"/>
      </w:pPr>
      <w:r>
        <w:t xml:space="preserve">Councillor </w:t>
      </w:r>
      <w:proofErr w:type="spellStart"/>
      <w:r>
        <w:t>Naim</w:t>
      </w:r>
      <w:proofErr w:type="spellEnd"/>
      <w:r>
        <w:t xml:space="preserve"> Kurt of Meadow Valley Ward</w:t>
      </w:r>
    </w:p>
    <w:p w14:paraId="1C7D0626" w14:textId="58D26787" w:rsidR="00816942" w:rsidRDefault="00B6174B" w:rsidP="00A679EC">
      <w:pPr>
        <w:pStyle w:val="BodyText"/>
      </w:pPr>
      <w:r>
        <w:t xml:space="preserve">At the public hearing, </w:t>
      </w:r>
      <w:r w:rsidR="009F6AB2">
        <w:t xml:space="preserve">Councillor Kurt </w:t>
      </w:r>
      <w:r w:rsidR="00DB1F40">
        <w:t>explained</w:t>
      </w:r>
      <w:r w:rsidR="00CB1A8F">
        <w:t xml:space="preserve"> there were three main communities of interest in the City</w:t>
      </w:r>
      <w:r w:rsidR="00185DAB">
        <w:t>. They included</w:t>
      </w:r>
      <w:r w:rsidR="00CB1A8F">
        <w:t xml:space="preserve"> the growth areas in the north,</w:t>
      </w:r>
      <w:r w:rsidR="00185DAB">
        <w:t xml:space="preserve"> the</w:t>
      </w:r>
      <w:r w:rsidR="00CB1A8F">
        <w:t xml:space="preserve"> established suburbs in the south and the rural communities in the west. </w:t>
      </w:r>
      <w:r w:rsidR="00EC0731">
        <w:t>C</w:t>
      </w:r>
      <w:r w:rsidR="00352C1B">
        <w:t>ouncillo</w:t>
      </w:r>
      <w:r w:rsidR="00EC0731">
        <w:t xml:space="preserve">r Kurt </w:t>
      </w:r>
      <w:r w:rsidR="00185DAB">
        <w:t xml:space="preserve">highlighted the importance of placing communities that share issues into </w:t>
      </w:r>
      <w:r w:rsidR="00DB1F40">
        <w:t>their r</w:t>
      </w:r>
      <w:r w:rsidR="008F5A7A">
        <w:t>elevant</w:t>
      </w:r>
      <w:r w:rsidR="00185DAB">
        <w:t xml:space="preserve"> ward and</w:t>
      </w:r>
      <w:r w:rsidR="00CB1A8F">
        <w:t xml:space="preserve"> </w:t>
      </w:r>
      <w:r w:rsidR="00816942">
        <w:t>explained</w:t>
      </w:r>
      <w:r w:rsidR="006134F1">
        <w:t xml:space="preserve"> that his proposed ward boundaries </w:t>
      </w:r>
      <w:r w:rsidR="0010564D">
        <w:t>would</w:t>
      </w:r>
      <w:r w:rsidR="00185DAB">
        <w:t xml:space="preserve"> </w:t>
      </w:r>
      <w:r w:rsidR="0010564D">
        <w:t xml:space="preserve">be </w:t>
      </w:r>
      <w:r w:rsidR="0077753C">
        <w:t>i</w:t>
      </w:r>
      <w:r w:rsidR="0010564D">
        <w:t xml:space="preserve">n line with the </w:t>
      </w:r>
      <w:r w:rsidR="008F5A7A">
        <w:t>Council’s strategic HIGAP</w:t>
      </w:r>
      <w:r w:rsidR="0010564D">
        <w:t xml:space="preserve"> documents, which </w:t>
      </w:r>
      <w:r w:rsidR="00CB1A8F">
        <w:t>w</w:t>
      </w:r>
      <w:r w:rsidR="008F5A7A">
        <w:t>ould</w:t>
      </w:r>
      <w:r w:rsidR="00CB1A8F">
        <w:t xml:space="preserve"> continue to </w:t>
      </w:r>
      <w:r w:rsidR="0010564D">
        <w:t>gover</w:t>
      </w:r>
      <w:r w:rsidR="006134F1">
        <w:t>n</w:t>
      </w:r>
      <w:r w:rsidR="0010564D">
        <w:t xml:space="preserve"> council spending </w:t>
      </w:r>
      <w:r w:rsidR="006134F1">
        <w:t xml:space="preserve">on the different areas </w:t>
      </w:r>
      <w:r w:rsidR="0010564D">
        <w:t xml:space="preserve">in the next </w:t>
      </w:r>
      <w:r w:rsidR="006134F1">
        <w:t>two to three decades</w:t>
      </w:r>
      <w:r w:rsidR="0010564D">
        <w:t xml:space="preserve">. </w:t>
      </w:r>
    </w:p>
    <w:p w14:paraId="036196A8" w14:textId="3534040F" w:rsidR="00185DAB" w:rsidRDefault="00185DAB" w:rsidP="00A679EC">
      <w:pPr>
        <w:pStyle w:val="BodyText"/>
      </w:pPr>
      <w:r>
        <w:t xml:space="preserve">Councillor Kurt </w:t>
      </w:r>
      <w:r w:rsidR="008F5A7A">
        <w:t>commented</w:t>
      </w:r>
      <w:r>
        <w:t xml:space="preserve"> that currently the rural areas stretch across all wards. </w:t>
      </w:r>
      <w:r w:rsidR="00EC0731">
        <w:t>C</w:t>
      </w:r>
      <w:r w:rsidR="00352C1B">
        <w:t>ouncillo</w:t>
      </w:r>
      <w:r w:rsidR="00EC0731">
        <w:t xml:space="preserve">r Kurt </w:t>
      </w:r>
      <w:r w:rsidR="00816942">
        <w:t xml:space="preserve">told the VEC that he did not support spreading the rural area across </w:t>
      </w:r>
      <w:r w:rsidR="008F5A7A">
        <w:t>all</w:t>
      </w:r>
      <w:r w:rsidR="00816942">
        <w:t xml:space="preserve"> wards. Instead, he supported</w:t>
      </w:r>
      <w:r>
        <w:t xml:space="preserve"> </w:t>
      </w:r>
      <w:r w:rsidR="00816942">
        <w:t xml:space="preserve">wards which </w:t>
      </w:r>
      <w:r>
        <w:t>predominantly contained one of the three</w:t>
      </w:r>
      <w:r w:rsidR="00DB1F40">
        <w:t xml:space="preserve"> broad</w:t>
      </w:r>
      <w:r w:rsidR="00816942">
        <w:t xml:space="preserve"> communities of interest. </w:t>
      </w:r>
      <w:r w:rsidR="00DB1F40">
        <w:t xml:space="preserve">Councillor Kurt also commented that although Woodlands Historic Park was used by residents from all localities in the council area, the </w:t>
      </w:r>
      <w:r w:rsidR="00DB1F40">
        <w:lastRenderedPageBreak/>
        <w:t xml:space="preserve">issues of managing parks and reserves was more connected with the rural area HIGAP strategy. </w:t>
      </w:r>
    </w:p>
    <w:p w14:paraId="51DD5D02" w14:textId="59F82046" w:rsidR="00185DAB" w:rsidRDefault="00185DAB" w:rsidP="00185DAB">
      <w:pPr>
        <w:pStyle w:val="BodyText"/>
      </w:pPr>
      <w:r>
        <w:t xml:space="preserve">Responding to a question about whether there were interconnected issues that would be better served by wards which contain a mix of each broad community of interest, Councillor Kurt emphasised that the </w:t>
      </w:r>
      <w:r w:rsidR="008F5A7A">
        <w:t xml:space="preserve">allocation of work and focus for the councillors meant, for example, that the </w:t>
      </w:r>
      <w:r>
        <w:t>Meadow Valley Ward councillors were focused on urban renewal and town planning issues rather than precinct structure plans</w:t>
      </w:r>
      <w:r w:rsidR="00DB1F40">
        <w:t>,</w:t>
      </w:r>
      <w:r>
        <w:t xml:space="preserve"> which were a focus of the Aitken Ward councillors</w:t>
      </w:r>
      <w:r w:rsidR="008F5A7A">
        <w:t xml:space="preserve"> in the growing areas to the north</w:t>
      </w:r>
      <w:r>
        <w:t>.</w:t>
      </w:r>
    </w:p>
    <w:p w14:paraId="3445F57C" w14:textId="6322AF06" w:rsidR="00185DAB" w:rsidRDefault="008F5A7A" w:rsidP="00A679EC">
      <w:pPr>
        <w:pStyle w:val="BodyText"/>
      </w:pPr>
      <w:r>
        <w:t>Councillor Kurt further</w:t>
      </w:r>
      <w:r w:rsidR="00185DAB">
        <w:t xml:space="preserve"> explained that the problem for the councillors in Meadow Valley and Aitken Wards was they were often not as across </w:t>
      </w:r>
      <w:proofErr w:type="gramStart"/>
      <w:r w:rsidR="00185DAB">
        <w:t xml:space="preserve">all </w:t>
      </w:r>
      <w:r>
        <w:t>of</w:t>
      </w:r>
      <w:proofErr w:type="gramEnd"/>
      <w:r>
        <w:t xml:space="preserve"> </w:t>
      </w:r>
      <w:r w:rsidR="00185DAB">
        <w:t>the issues for the rural areas as the Jacksons Creek Ward councillors. He c</w:t>
      </w:r>
      <w:r>
        <w:t>onsidered</w:t>
      </w:r>
      <w:r w:rsidR="00185DAB">
        <w:t xml:space="preserve"> that containing all the rural areas in a larger Jacksons Creek Ward would</w:t>
      </w:r>
      <w:r w:rsidR="00DB1F40">
        <w:t xml:space="preserve"> also</w:t>
      </w:r>
      <w:r w:rsidR="00185DAB">
        <w:t xml:space="preserve"> benefit the rural community and would ensure that their issues are not lost in the competing demands in the predominantly urban wards.</w:t>
      </w:r>
    </w:p>
    <w:p w14:paraId="7AE77521" w14:textId="335346F1" w:rsidR="009312E0" w:rsidRDefault="006134F1" w:rsidP="00E67A6D">
      <w:pPr>
        <w:pStyle w:val="BodyText"/>
      </w:pPr>
      <w:r>
        <w:t xml:space="preserve">Councillor Kurt </w:t>
      </w:r>
      <w:r w:rsidR="00B201E2">
        <w:t xml:space="preserve">also </w:t>
      </w:r>
      <w:r w:rsidR="00185DAB">
        <w:t>noted</w:t>
      </w:r>
      <w:r w:rsidR="008F5A7A">
        <w:t xml:space="preserve"> that</w:t>
      </w:r>
      <w:r w:rsidR="00185DAB">
        <w:t xml:space="preserve"> at present</w:t>
      </w:r>
      <w:r w:rsidR="00DB32E2">
        <w:t xml:space="preserve"> </w:t>
      </w:r>
      <w:r w:rsidR="003C6B08">
        <w:t xml:space="preserve">Tullamarine and Campbellfield </w:t>
      </w:r>
      <w:r w:rsidR="00DB32E2">
        <w:t>were both misplaced</w:t>
      </w:r>
      <w:r w:rsidR="003C6B08">
        <w:t xml:space="preserve"> in the current structure.</w:t>
      </w:r>
      <w:r w:rsidR="00DB32E2">
        <w:t xml:space="preserve"> </w:t>
      </w:r>
      <w:r w:rsidR="001276D1">
        <w:t>Tullamarine</w:t>
      </w:r>
      <w:r w:rsidR="008F5A7A">
        <w:t>’s residents and voters</w:t>
      </w:r>
      <w:r w:rsidR="00DB32E2">
        <w:t xml:space="preserve"> rel</w:t>
      </w:r>
      <w:r w:rsidR="008F5A7A">
        <w:t>ied</w:t>
      </w:r>
      <w:r w:rsidR="00DB32E2">
        <w:t xml:space="preserve"> on</w:t>
      </w:r>
      <w:r w:rsidR="003C6B08">
        <w:t xml:space="preserve"> </w:t>
      </w:r>
      <w:r w:rsidR="00E67A6D">
        <w:t>f</w:t>
      </w:r>
      <w:r w:rsidR="003C6B08">
        <w:t>acilities</w:t>
      </w:r>
      <w:r w:rsidR="008F5A7A">
        <w:t xml:space="preserve"> and services</w:t>
      </w:r>
      <w:r w:rsidR="003C6B08">
        <w:t xml:space="preserve"> in Gladstone Park and Broadmeadows</w:t>
      </w:r>
      <w:r w:rsidR="00CB1A8F">
        <w:t xml:space="preserve"> within Meadow Valley </w:t>
      </w:r>
      <w:r w:rsidR="00DB1F40">
        <w:t>Ward and</w:t>
      </w:r>
      <w:r w:rsidR="008F5A7A">
        <w:t xml:space="preserve"> were not well represented by the Jacksons Creek Ward councillors</w:t>
      </w:r>
      <w:r w:rsidR="003C6B08">
        <w:t xml:space="preserve">. Similarly, </w:t>
      </w:r>
      <w:r w:rsidR="00EC0731">
        <w:t>C</w:t>
      </w:r>
      <w:r w:rsidR="00352C1B">
        <w:t>ouncillo</w:t>
      </w:r>
      <w:r w:rsidR="00EC0731">
        <w:t xml:space="preserve">r Kurt </w:t>
      </w:r>
      <w:r w:rsidR="003C6B08">
        <w:t xml:space="preserve">noted that Campbellfield’s residents </w:t>
      </w:r>
      <w:r w:rsidR="00E67A6D">
        <w:t>tended to gravitate</w:t>
      </w:r>
      <w:r w:rsidR="003C6B08">
        <w:t xml:space="preserve"> towards Broadmeadows</w:t>
      </w:r>
      <w:r w:rsidR="008F5A7A">
        <w:t xml:space="preserve"> in Meadow Valley Ward,</w:t>
      </w:r>
      <w:r w:rsidR="003C6B08">
        <w:t xml:space="preserve"> rather than Craigieburn</w:t>
      </w:r>
      <w:r w:rsidR="008F5A7A">
        <w:t xml:space="preserve"> in Aitken Ward</w:t>
      </w:r>
      <w:r w:rsidR="003C6B08">
        <w:t xml:space="preserve">. </w:t>
      </w:r>
    </w:p>
    <w:p w14:paraId="1C856016" w14:textId="16A7DB00" w:rsidR="00DB1F40" w:rsidRDefault="009312E0" w:rsidP="00DB1F40">
      <w:pPr>
        <w:pStyle w:val="BodyText"/>
      </w:pPr>
      <w:r>
        <w:t>Responding to the VEC’s question about the</w:t>
      </w:r>
      <w:r w:rsidR="008F5A7A">
        <w:t xml:space="preserve"> larger area covered by the</w:t>
      </w:r>
      <w:r w:rsidR="00DE247B">
        <w:t xml:space="preserve"> Jacksons Creek Ward in his preferred model</w:t>
      </w:r>
      <w:r>
        <w:t>,</w:t>
      </w:r>
      <w:r w:rsidR="00DE247B">
        <w:t xml:space="preserve"> Councillor Kurt </w:t>
      </w:r>
      <w:r>
        <w:t>commented</w:t>
      </w:r>
      <w:r w:rsidR="00DE247B">
        <w:t xml:space="preserve"> that </w:t>
      </w:r>
      <w:r w:rsidR="008F5A7A">
        <w:t>al</w:t>
      </w:r>
      <w:r w:rsidR="00DE247B">
        <w:t xml:space="preserve">though the Aitken and Meadow Valley Wards </w:t>
      </w:r>
      <w:r w:rsidR="008F5A7A">
        <w:t xml:space="preserve">in his model </w:t>
      </w:r>
      <w:r w:rsidR="00DE247B">
        <w:t>would cover</w:t>
      </w:r>
      <w:r w:rsidR="008F5A7A">
        <w:t xml:space="preserve"> </w:t>
      </w:r>
      <w:r w:rsidR="00DE247B">
        <w:t>smaller areas,</w:t>
      </w:r>
      <w:r w:rsidR="001276D1">
        <w:t xml:space="preserve"> </w:t>
      </w:r>
      <w:r w:rsidR="00DE247B">
        <w:t>the</w:t>
      </w:r>
      <w:r w:rsidR="001276D1">
        <w:t>se urban</w:t>
      </w:r>
      <w:r w:rsidR="00DE247B">
        <w:t xml:space="preserve"> wards would be similar</w:t>
      </w:r>
      <w:r w:rsidR="008F5A7A">
        <w:t xml:space="preserve"> to the geographically larger Jacksons Creek Ward</w:t>
      </w:r>
      <w:r w:rsidR="00DE247B">
        <w:t xml:space="preserve"> in terms of population demands. </w:t>
      </w:r>
    </w:p>
    <w:p w14:paraId="43C3F173" w14:textId="77777777" w:rsidR="006B54D7" w:rsidRPr="00CC318C" w:rsidRDefault="006B54D7" w:rsidP="006B54D7">
      <w:pPr>
        <w:pStyle w:val="BodyText"/>
        <w:rPr>
          <w:b/>
          <w:bCs/>
        </w:rPr>
      </w:pPr>
      <w:r w:rsidRPr="00CC318C">
        <w:rPr>
          <w:b/>
          <w:bCs/>
        </w:rPr>
        <w:t>Greenvale</w:t>
      </w:r>
      <w:r w:rsidR="009312E0">
        <w:rPr>
          <w:b/>
          <w:bCs/>
        </w:rPr>
        <w:t xml:space="preserve"> and Roxburgh Park</w:t>
      </w:r>
    </w:p>
    <w:p w14:paraId="4F12B13A" w14:textId="4249E3C2" w:rsidR="00816942" w:rsidRDefault="00B201E2" w:rsidP="006B54D7">
      <w:pPr>
        <w:pStyle w:val="BodyText"/>
      </w:pPr>
      <w:r>
        <w:t xml:space="preserve">Responding to a question from the VEC about the splitting of Greenvale, </w:t>
      </w:r>
      <w:r w:rsidR="0010564D">
        <w:t xml:space="preserve">Councillor </w:t>
      </w:r>
      <w:r w:rsidR="00187080">
        <w:t>Kurt</w:t>
      </w:r>
      <w:r w:rsidR="008F5A7A">
        <w:t xml:space="preserve"> commented that</w:t>
      </w:r>
      <w:r>
        <w:t xml:space="preserve"> he would prefer that the two predominantly urban wards did not contain parts of the rural areas to the west. </w:t>
      </w:r>
      <w:r w:rsidR="00EC0731">
        <w:t>C</w:t>
      </w:r>
      <w:r w:rsidR="00352C1B">
        <w:t>ouncillo</w:t>
      </w:r>
      <w:r w:rsidR="00EC0731">
        <w:t xml:space="preserve">r Kurt </w:t>
      </w:r>
      <w:r>
        <w:t>questioned whether this could be achieved with</w:t>
      </w:r>
      <w:r w:rsidR="00FB03FC">
        <w:t xml:space="preserve"> Greenvale</w:t>
      </w:r>
      <w:r>
        <w:t xml:space="preserve"> contained in one ward.</w:t>
      </w:r>
      <w:r w:rsidR="00FB03FC">
        <w:t xml:space="preserve"> </w:t>
      </w:r>
    </w:p>
    <w:p w14:paraId="1B25DFDB" w14:textId="5A76F581" w:rsidR="008F5A7A" w:rsidRDefault="00816942" w:rsidP="006B54D7">
      <w:pPr>
        <w:pStyle w:val="BodyText"/>
      </w:pPr>
      <w:r>
        <w:t>Responding to a</w:t>
      </w:r>
      <w:r w:rsidR="008F5A7A">
        <w:t xml:space="preserve"> further</w:t>
      </w:r>
      <w:r>
        <w:t xml:space="preserve"> question from the VEC</w:t>
      </w:r>
      <w:r w:rsidR="00FB03FC">
        <w:t xml:space="preserve"> regarding which ward was more appropriate if </w:t>
      </w:r>
      <w:r w:rsidR="00B201E2">
        <w:t xml:space="preserve">all of </w:t>
      </w:r>
      <w:r w:rsidR="00FB03FC">
        <w:t>Greenvale was to be contained in one ward</w:t>
      </w:r>
      <w:r>
        <w:t xml:space="preserve">, </w:t>
      </w:r>
      <w:r w:rsidR="00B201E2">
        <w:t>Councillor Kurt</w:t>
      </w:r>
      <w:r>
        <w:t xml:space="preserve"> considered </w:t>
      </w:r>
      <w:r w:rsidR="0010564D">
        <w:t xml:space="preserve">that </w:t>
      </w:r>
      <w:r w:rsidR="006B54D7">
        <w:t>Greenvale</w:t>
      </w:r>
      <w:r w:rsidR="00C71BE7">
        <w:t xml:space="preserve"> </w:t>
      </w:r>
      <w:r w:rsidR="00187080">
        <w:t xml:space="preserve">was </w:t>
      </w:r>
      <w:r w:rsidR="00B201E2">
        <w:t>likely to be better</w:t>
      </w:r>
      <w:r w:rsidR="00187080">
        <w:t xml:space="preserve"> placed</w:t>
      </w:r>
      <w:r w:rsidR="00C71BE7">
        <w:t xml:space="preserve"> in Jacksons Creek Ward</w:t>
      </w:r>
      <w:r w:rsidR="0010564D">
        <w:t xml:space="preserve"> </w:t>
      </w:r>
      <w:r w:rsidR="0010564D">
        <w:lastRenderedPageBreak/>
        <w:t xml:space="preserve">because the </w:t>
      </w:r>
      <w:r w:rsidR="008F5A7A">
        <w:t>suburb</w:t>
      </w:r>
      <w:r w:rsidR="0010564D">
        <w:t xml:space="preserve"> </w:t>
      </w:r>
      <w:r w:rsidR="005D39E6">
        <w:t xml:space="preserve">was </w:t>
      </w:r>
      <w:r>
        <w:t xml:space="preserve">previously </w:t>
      </w:r>
      <w:r w:rsidR="00187080">
        <w:t>part of t</w:t>
      </w:r>
      <w:r w:rsidR="005D39E6">
        <w:t>he Shire of Bulla</w:t>
      </w:r>
      <w:r w:rsidR="00187080">
        <w:t>,</w:t>
      </w:r>
      <w:r w:rsidR="0010564D">
        <w:t xml:space="preserve"> and the older</w:t>
      </w:r>
      <w:r w:rsidR="005D39E6">
        <w:t xml:space="preserve"> community</w:t>
      </w:r>
      <w:r w:rsidR="0010564D">
        <w:t xml:space="preserve"> in Greenvale would </w:t>
      </w:r>
      <w:r w:rsidR="00D82224">
        <w:t>share commonalities</w:t>
      </w:r>
      <w:r w:rsidR="0010564D">
        <w:t xml:space="preserve"> with</w:t>
      </w:r>
      <w:r w:rsidR="005D39E6">
        <w:t xml:space="preserve"> </w:t>
      </w:r>
      <w:r w:rsidR="0010564D">
        <w:t>the rural communities</w:t>
      </w:r>
      <w:r w:rsidR="00187080">
        <w:t xml:space="preserve"> to the west</w:t>
      </w:r>
      <w:r w:rsidR="005D39E6">
        <w:t xml:space="preserve">. </w:t>
      </w:r>
    </w:p>
    <w:p w14:paraId="1709899C" w14:textId="6515F0D7" w:rsidR="00A6786E" w:rsidRDefault="00E458DC" w:rsidP="006B54D7">
      <w:pPr>
        <w:pStyle w:val="BodyText"/>
      </w:pPr>
      <w:r>
        <w:t xml:space="preserve">Due to </w:t>
      </w:r>
      <w:r w:rsidR="005E1520">
        <w:t>the residential development</w:t>
      </w:r>
      <w:r w:rsidR="005D39E6">
        <w:t xml:space="preserve"> </w:t>
      </w:r>
      <w:r w:rsidR="005E1520">
        <w:t>in Greenvale</w:t>
      </w:r>
      <w:r w:rsidR="00A6786E">
        <w:t xml:space="preserve"> north of Somerton Road</w:t>
      </w:r>
      <w:r w:rsidR="005D39E6">
        <w:t>,</w:t>
      </w:r>
      <w:r w:rsidR="005E1520">
        <w:t xml:space="preserve"> Councillor Kurt also </w:t>
      </w:r>
      <w:r w:rsidR="00187080">
        <w:t>believed that</w:t>
      </w:r>
      <w:r w:rsidR="005E1520">
        <w:t xml:space="preserve"> Greenvale could fit with</w:t>
      </w:r>
      <w:r w:rsidR="005D39E6">
        <w:t xml:space="preserve"> Aitken Ward. </w:t>
      </w:r>
    </w:p>
    <w:p w14:paraId="63F0F039" w14:textId="36773D54" w:rsidR="008F5A7A" w:rsidRDefault="00A6786E" w:rsidP="006B54D7">
      <w:pPr>
        <w:pStyle w:val="BodyText"/>
      </w:pPr>
      <w:r>
        <w:t>Regarding</w:t>
      </w:r>
      <w:r w:rsidR="002B6984">
        <w:t xml:space="preserve"> Roxburgh Park</w:t>
      </w:r>
      <w:r>
        <w:t>, Councillor Kurt</w:t>
      </w:r>
      <w:r w:rsidR="00C71BE7">
        <w:t xml:space="preserve"> commented that the suburb would be better placed in Meadow Valley Ward, if that was a decision that needed to be made. He noted that Roxburgh Park</w:t>
      </w:r>
      <w:r>
        <w:t xml:space="preserve"> </w:t>
      </w:r>
      <w:r w:rsidR="00FB03FC">
        <w:t>had a</w:t>
      </w:r>
      <w:r>
        <w:t xml:space="preserve"> </w:t>
      </w:r>
      <w:r w:rsidR="00187080">
        <w:t>culturally</w:t>
      </w:r>
      <w:r>
        <w:t xml:space="preserve"> and </w:t>
      </w:r>
      <w:r w:rsidR="00187080">
        <w:t xml:space="preserve">socially </w:t>
      </w:r>
      <w:r>
        <w:t>diverse</w:t>
      </w:r>
      <w:r w:rsidR="00FB03FC">
        <w:t xml:space="preserve"> population</w:t>
      </w:r>
      <w:r w:rsidR="00187080">
        <w:t xml:space="preserve"> and</w:t>
      </w:r>
      <w:r>
        <w:t xml:space="preserve"> </w:t>
      </w:r>
      <w:r w:rsidR="00187080">
        <w:t>w</w:t>
      </w:r>
      <w:r w:rsidR="00FB03FC">
        <w:t>as</w:t>
      </w:r>
      <w:r w:rsidR="00187080">
        <w:t xml:space="preserve"> likely to</w:t>
      </w:r>
      <w:r>
        <w:t xml:space="preserve"> share commonalities with </w:t>
      </w:r>
      <w:r w:rsidR="00187080">
        <w:t xml:space="preserve">suburbs </w:t>
      </w:r>
      <w:r w:rsidR="00FB03FC">
        <w:t xml:space="preserve">and populations </w:t>
      </w:r>
      <w:r w:rsidR="009312E0">
        <w:t xml:space="preserve">in </w:t>
      </w:r>
      <w:r>
        <w:t>Meadow Valley Ward.</w:t>
      </w:r>
    </w:p>
    <w:p w14:paraId="2D3CB0A5" w14:textId="77777777" w:rsidR="008F5A7A" w:rsidRPr="00187080" w:rsidRDefault="008F5A7A" w:rsidP="008F5A7A">
      <w:pPr>
        <w:pStyle w:val="BodyText"/>
        <w:rPr>
          <w:b/>
          <w:bCs/>
        </w:rPr>
      </w:pPr>
      <w:r w:rsidRPr="00187080">
        <w:rPr>
          <w:b/>
          <w:bCs/>
        </w:rPr>
        <w:t>Roxburgh Park, Attwood and Westmeadows</w:t>
      </w:r>
      <w:r>
        <w:rPr>
          <w:b/>
          <w:bCs/>
        </w:rPr>
        <w:t xml:space="preserve"> </w:t>
      </w:r>
    </w:p>
    <w:p w14:paraId="0C51800A" w14:textId="18CFAC08" w:rsidR="008F5A7A" w:rsidRDefault="008F5A7A" w:rsidP="008F5A7A">
      <w:pPr>
        <w:pStyle w:val="BodyText"/>
      </w:pPr>
      <w:r>
        <w:t>Councillor Kurt noted that residents and voters in Roxburgh Park, Attwood and Westmeadows were unlikely to support the VEC’s proposal because their suburbs would be divided across wards</w:t>
      </w:r>
      <w:r w:rsidR="00D9412F">
        <w:t>.</w:t>
      </w:r>
      <w:r>
        <w:t xml:space="preserve"> </w:t>
      </w:r>
    </w:p>
    <w:p w14:paraId="2DA9A7CC" w14:textId="6E95CF55" w:rsidR="006B54D7" w:rsidRPr="00751120" w:rsidRDefault="00EC0731" w:rsidP="006B54D7">
      <w:pPr>
        <w:pStyle w:val="BodyText"/>
      </w:pPr>
      <w:r>
        <w:t>C</w:t>
      </w:r>
      <w:r w:rsidR="00352C1B">
        <w:t>ouncillo</w:t>
      </w:r>
      <w:r>
        <w:t xml:space="preserve">r Kurt </w:t>
      </w:r>
      <w:r w:rsidR="008F5A7A">
        <w:t xml:space="preserve">also commented that a four or five-ward electoral structure was </w:t>
      </w:r>
      <w:r w:rsidR="00BD3140">
        <w:t>likely to be</w:t>
      </w:r>
      <w:r w:rsidR="008F5A7A">
        <w:t xml:space="preserve"> better for local representation in the City of Hume because it would </w:t>
      </w:r>
      <w:r w:rsidR="00BD3140">
        <w:t xml:space="preserve">also </w:t>
      </w:r>
      <w:r w:rsidR="008F5A7A">
        <w:t>recognise the smaller distinct localities</w:t>
      </w:r>
      <w:r w:rsidR="00BD3140">
        <w:t xml:space="preserve"> and communities of interest</w:t>
      </w:r>
      <w:r w:rsidR="46760102">
        <w:t xml:space="preserve"> –</w:t>
      </w:r>
      <w:r w:rsidR="008F5A7A">
        <w:t xml:space="preserve"> but he acknowledged that changing the number of wards was not within the ambit of </w:t>
      </w:r>
      <w:r w:rsidR="00C26176">
        <w:t>th</w:t>
      </w:r>
      <w:r w:rsidR="00484906">
        <w:t>e subdivision</w:t>
      </w:r>
      <w:r w:rsidR="008F5A7A">
        <w:t xml:space="preserve"> review.  </w:t>
      </w:r>
      <w:r w:rsidR="00C71BE7">
        <w:t xml:space="preserve"> </w:t>
      </w:r>
    </w:p>
    <w:p w14:paraId="6096FE5F" w14:textId="77777777" w:rsidR="007E7FE1" w:rsidRPr="00AC5FFA" w:rsidRDefault="007E7FE1" w:rsidP="00F5118B">
      <w:pPr>
        <w:pStyle w:val="Heading1numbered"/>
      </w:pPr>
      <w:r w:rsidRPr="00AC5FFA">
        <w:br w:type="page"/>
      </w:r>
      <w:bookmarkStart w:id="14" w:name="_Toc37332248"/>
      <w:r w:rsidRPr="00AC5FFA">
        <w:lastRenderedPageBreak/>
        <w:t>Findings and recommendation</w:t>
      </w:r>
      <w:bookmarkEnd w:id="14"/>
    </w:p>
    <w:p w14:paraId="1BA9645F" w14:textId="77777777" w:rsidR="007E7FE1" w:rsidRPr="00AC5FFA" w:rsidRDefault="007E7FE1" w:rsidP="00C02AA7">
      <w:pPr>
        <w:pStyle w:val="Heading2numbered"/>
      </w:pPr>
      <w:bookmarkStart w:id="15" w:name="_Toc37332249"/>
      <w:r w:rsidRPr="00AC5FFA">
        <w:t>The VEC’s findings</w:t>
      </w:r>
      <w:bookmarkEnd w:id="15"/>
    </w:p>
    <w:p w14:paraId="267246EF" w14:textId="77777777" w:rsidR="00E458DC" w:rsidRDefault="00E458DC" w:rsidP="00E458DC">
      <w:pPr>
        <w:pStyle w:val="BodyText"/>
        <w:rPr>
          <w:b/>
          <w:bCs/>
        </w:rPr>
      </w:pPr>
      <w:r w:rsidRPr="0080319E">
        <w:rPr>
          <w:b/>
          <w:bCs/>
        </w:rPr>
        <w:t>The VEC’s proposed boundary adjustments</w:t>
      </w:r>
    </w:p>
    <w:p w14:paraId="0917F347" w14:textId="77777777" w:rsidR="00E458DC" w:rsidRDefault="00E458DC" w:rsidP="00E458DC">
      <w:pPr>
        <w:pStyle w:val="BodyText"/>
      </w:pPr>
      <w:r>
        <w:t>In the preliminary report, the VEC noted that its proposed ward boundary adjustments:</w:t>
      </w:r>
    </w:p>
    <w:p w14:paraId="76DCA3F6" w14:textId="77777777" w:rsidR="00E458DC" w:rsidRDefault="00E458DC" w:rsidP="00E458DC">
      <w:pPr>
        <w:pStyle w:val="BodyText"/>
        <w:numPr>
          <w:ilvl w:val="0"/>
          <w:numId w:val="17"/>
        </w:numPr>
      </w:pPr>
      <w:r>
        <w:t xml:space="preserve">followed easy to recognise geographic features </w:t>
      </w:r>
    </w:p>
    <w:p w14:paraId="098B04EA" w14:textId="77777777" w:rsidR="00E458DC" w:rsidRDefault="00E458DC" w:rsidP="00E458DC">
      <w:pPr>
        <w:pStyle w:val="BodyText"/>
        <w:numPr>
          <w:ilvl w:val="0"/>
          <w:numId w:val="17"/>
        </w:numPr>
      </w:pPr>
      <w:r>
        <w:t>enabled much of the existing Jacksons Creek Ward boundary to remain as is, much of which follows easily recognisable natural features and captures the Sunbury region community of interest</w:t>
      </w:r>
    </w:p>
    <w:p w14:paraId="354831E4" w14:textId="77777777" w:rsidR="00E458DC" w:rsidRDefault="00E458DC" w:rsidP="00E458DC">
      <w:pPr>
        <w:pStyle w:val="BodyText"/>
        <w:numPr>
          <w:ilvl w:val="0"/>
          <w:numId w:val="17"/>
        </w:numPr>
      </w:pPr>
      <w:r>
        <w:t>enabled the majority of the Northern State Significant Industrial Precinct to remain united within one ward</w:t>
      </w:r>
    </w:p>
    <w:p w14:paraId="2DAECA1A" w14:textId="77777777" w:rsidR="00E458DC" w:rsidRDefault="00E458DC" w:rsidP="00E458DC">
      <w:pPr>
        <w:pStyle w:val="BodyText"/>
        <w:numPr>
          <w:ilvl w:val="0"/>
          <w:numId w:val="17"/>
        </w:numPr>
      </w:pPr>
      <w:r>
        <w:t xml:space="preserve">united the Westmeadows industrial area with the closely related Melbourne Airport and Tullamarine Industrial area. </w:t>
      </w:r>
    </w:p>
    <w:p w14:paraId="258C0BDB" w14:textId="77777777" w:rsidR="00E458DC" w:rsidRDefault="00E458DC" w:rsidP="00E458DC">
      <w:pPr>
        <w:pStyle w:val="BodyText"/>
      </w:pPr>
      <w:r>
        <w:t xml:space="preserve">Based on current enrolments, the VEC’s original proposed boundary changes would impact 12,472 voters (or 8.2% of the total enrolment). </w:t>
      </w:r>
    </w:p>
    <w:p w14:paraId="08AFA42F" w14:textId="77777777" w:rsidR="00E458DC" w:rsidRDefault="00E458DC" w:rsidP="00E458DC">
      <w:pPr>
        <w:pStyle w:val="BodyText"/>
      </w:pPr>
      <w:r>
        <w:t xml:space="preserve">At the final stage of the review, the VEC remains of the view that its proposed ward boundary adjustments would meet the main aim of a subdivision review and consideration for fair representation of communities of interest. </w:t>
      </w:r>
    </w:p>
    <w:p w14:paraId="553A4776" w14:textId="77777777" w:rsidR="00E458DC" w:rsidRDefault="00E458DC" w:rsidP="00E458DC">
      <w:pPr>
        <w:pStyle w:val="BodyText"/>
      </w:pPr>
      <w:r>
        <w:t xml:space="preserve">However, the VEC had noted that one of the potential drawbacks of its proposed ward boundary adjustments was that it would split the suburbs of Attwood, Westmeadows and Roxburgh Park across wards. As noted in the preliminary report, the divisions were necessary to balance ward deviations.  </w:t>
      </w:r>
    </w:p>
    <w:p w14:paraId="37D45009" w14:textId="509F6AC4" w:rsidR="00E458DC" w:rsidRDefault="00E458DC" w:rsidP="00E458DC">
      <w:pPr>
        <w:pStyle w:val="BodyText"/>
      </w:pPr>
      <w:r>
        <w:t xml:space="preserve">At the final stage of the review, the VEC closely considered all submissions and found Councillor Jessop’s proposal of an additional boundary adjustment between Aitken and Meadow Valley Wards to present marginally greater advantages than the VEC’s preliminary proposed ward boundary adjustments alone and it recommends this additional boundary adjustment.  </w:t>
      </w:r>
    </w:p>
    <w:p w14:paraId="670F3EC3" w14:textId="49BA353D" w:rsidR="00E458DC" w:rsidRDefault="00E458DC" w:rsidP="00E458DC">
      <w:pPr>
        <w:pStyle w:val="BodyText"/>
      </w:pPr>
      <w:r>
        <w:t xml:space="preserve">The VEC also considered Councillor Kurt’s alternative proposed ward boundary adjustments. While the VEC acknowledged the merits of Councillor Kurt’s proposal, </w:t>
      </w:r>
      <w:r w:rsidR="00A854A3">
        <w:t xml:space="preserve">it </w:t>
      </w:r>
      <w:r>
        <w:t>could not recommend these ward boundary adjustments. They represented more significant change and disruption for voters in the City of Hume</w:t>
      </w:r>
      <w:r w:rsidR="001F5469">
        <w:t>. I</w:t>
      </w:r>
      <w:r>
        <w:t xml:space="preserve">n some cases, they did not fit with the VEC’s findings and research on communities of interest </w:t>
      </w:r>
      <w:r w:rsidR="001F5469">
        <w:t xml:space="preserve">in an area, and </w:t>
      </w:r>
      <w:r w:rsidR="00A854A3">
        <w:lastRenderedPageBreak/>
        <w:t>the proposal – though appealing for the councillor’s broad conceptualisation of communities of interest in the City of Hume –</w:t>
      </w:r>
      <w:r w:rsidR="001F5469">
        <w:t xml:space="preserve"> could not provide a balance in meeting </w:t>
      </w:r>
      <w:r w:rsidR="00A854A3">
        <w:t>the</w:t>
      </w:r>
      <w:r w:rsidR="001F5469">
        <w:t xml:space="preserve"> requirements and considerations in a subdivision review.  </w:t>
      </w:r>
    </w:p>
    <w:p w14:paraId="4C7C4C87" w14:textId="1C4982B3" w:rsidR="00C04A74" w:rsidRPr="00C824AD" w:rsidRDefault="008B654B" w:rsidP="00C02AA7">
      <w:pPr>
        <w:pStyle w:val="BodyText"/>
        <w:rPr>
          <w:b/>
          <w:bCs/>
        </w:rPr>
      </w:pPr>
      <w:r>
        <w:rPr>
          <w:b/>
          <w:bCs/>
        </w:rPr>
        <w:t>C</w:t>
      </w:r>
      <w:r w:rsidR="00354093">
        <w:rPr>
          <w:b/>
          <w:bCs/>
        </w:rPr>
        <w:t>ouncillor</w:t>
      </w:r>
      <w:r>
        <w:rPr>
          <w:b/>
          <w:bCs/>
        </w:rPr>
        <w:t xml:space="preserve"> Kurt</w:t>
      </w:r>
      <w:r w:rsidR="00354093">
        <w:rPr>
          <w:b/>
          <w:bCs/>
        </w:rPr>
        <w:t>’s propos</w:t>
      </w:r>
      <w:r w:rsidR="00A92A6F">
        <w:rPr>
          <w:b/>
          <w:bCs/>
        </w:rPr>
        <w:t>al</w:t>
      </w:r>
    </w:p>
    <w:p w14:paraId="5790C3D6" w14:textId="400A177D" w:rsidR="0080319E" w:rsidRDefault="0080319E" w:rsidP="009A300F">
      <w:pPr>
        <w:pStyle w:val="BodyText"/>
      </w:pPr>
      <w:r>
        <w:t xml:space="preserve">Councillor Kurt presented strong arguments in favour of his preferred ward boundary adjustments, which the VEC considered to have potential advantages for representing </w:t>
      </w:r>
      <w:r w:rsidR="0003076D">
        <w:t>the</w:t>
      </w:r>
      <w:r w:rsidR="00DF334B">
        <w:t xml:space="preserve"> </w:t>
      </w:r>
      <w:r w:rsidR="0003076D">
        <w:t xml:space="preserve">three </w:t>
      </w:r>
      <w:r>
        <w:t xml:space="preserve">broad communities of interest. However, the VEC could not recommend the alternative </w:t>
      </w:r>
      <w:r w:rsidR="0003076D">
        <w:t xml:space="preserve">proposal </w:t>
      </w:r>
      <w:r w:rsidR="00DF334B">
        <w:t>in part,</w:t>
      </w:r>
      <w:r w:rsidR="0003076D">
        <w:t xml:space="preserve"> or in its entirety,</w:t>
      </w:r>
      <w:r>
        <w:t xml:space="preserve"> for several </w:t>
      </w:r>
      <w:r w:rsidR="0003076D">
        <w:t xml:space="preserve">notable </w:t>
      </w:r>
      <w:r>
        <w:t xml:space="preserve">reasons. </w:t>
      </w:r>
    </w:p>
    <w:p w14:paraId="67B5DF0D" w14:textId="340F4A3D" w:rsidR="006F7185" w:rsidRDefault="00BD7A5B" w:rsidP="00740DB3">
      <w:pPr>
        <w:pStyle w:val="BodyText"/>
      </w:pPr>
      <w:r>
        <w:t xml:space="preserve">The VEC modelled </w:t>
      </w:r>
      <w:r w:rsidR="00982389">
        <w:t>Councillor Kurt’s</w:t>
      </w:r>
      <w:r w:rsidR="006B47E6">
        <w:t xml:space="preserve"> </w:t>
      </w:r>
      <w:r>
        <w:t>boundaries and found</w:t>
      </w:r>
      <w:r w:rsidR="00DF24A5">
        <w:t xml:space="preserve"> that</w:t>
      </w:r>
      <w:r>
        <w:t xml:space="preserve"> they </w:t>
      </w:r>
      <w:r w:rsidR="006C0465">
        <w:t>would</w:t>
      </w:r>
      <w:r w:rsidR="009A300F">
        <w:t xml:space="preserve"> </w:t>
      </w:r>
      <w:r w:rsidR="006C0465">
        <w:t xml:space="preserve">affect 17,228 voters (or 11.29% of the total enrolment). </w:t>
      </w:r>
      <w:r>
        <w:t>This number w</w:t>
      </w:r>
      <w:r w:rsidR="002B5518">
        <w:t>ould be</w:t>
      </w:r>
      <w:r w:rsidR="00D649D7">
        <w:t xml:space="preserve"> substantially more than the 12,472</w:t>
      </w:r>
      <w:r w:rsidR="006B47E6">
        <w:t xml:space="preserve"> voters</w:t>
      </w:r>
      <w:r w:rsidR="00D649D7">
        <w:t xml:space="preserve"> affected by the VEC’s </w:t>
      </w:r>
      <w:r w:rsidR="009A300F">
        <w:t xml:space="preserve">proposed </w:t>
      </w:r>
      <w:r w:rsidR="0080319E">
        <w:t xml:space="preserve">ward </w:t>
      </w:r>
      <w:r w:rsidR="00D649D7">
        <w:t xml:space="preserve">boundary adjustments. </w:t>
      </w:r>
      <w:r>
        <w:t>It</w:t>
      </w:r>
      <w:r w:rsidR="00740DB3">
        <w:t xml:space="preserve"> </w:t>
      </w:r>
      <w:r w:rsidR="00541595">
        <w:t>would</w:t>
      </w:r>
      <w:r w:rsidR="0080319E">
        <w:t>, in fact, lead to</w:t>
      </w:r>
      <w:r w:rsidR="00D649D7">
        <w:t xml:space="preserve"> </w:t>
      </w:r>
      <w:r w:rsidR="00740DB3">
        <w:t xml:space="preserve">4,756 </w:t>
      </w:r>
      <w:r w:rsidR="00D649D7">
        <w:t xml:space="preserve">more </w:t>
      </w:r>
      <w:r w:rsidR="00740DB3">
        <w:t>voters</w:t>
      </w:r>
      <w:r w:rsidR="00D51AD7">
        <w:t xml:space="preserve"> </w:t>
      </w:r>
      <w:r w:rsidR="002B5518">
        <w:t xml:space="preserve">who </w:t>
      </w:r>
      <w:r w:rsidR="00D51AD7">
        <w:t>would</w:t>
      </w:r>
      <w:r w:rsidR="006B47E6">
        <w:t xml:space="preserve"> need to change wards at the </w:t>
      </w:r>
      <w:r w:rsidR="002B5518">
        <w:t xml:space="preserve">2020 </w:t>
      </w:r>
      <w:r w:rsidR="006B47E6">
        <w:t>general council election</w:t>
      </w:r>
      <w:r w:rsidR="0080319E">
        <w:t xml:space="preserve">, which would </w:t>
      </w:r>
      <w:r w:rsidR="00797B5E">
        <w:t>increas</w:t>
      </w:r>
      <w:r w:rsidR="00A145D2">
        <w:t>e</w:t>
      </w:r>
      <w:r w:rsidR="00797B5E">
        <w:t xml:space="preserve"> </w:t>
      </w:r>
      <w:r w:rsidR="00B26661">
        <w:t>disruption</w:t>
      </w:r>
      <w:r w:rsidR="00A145D2">
        <w:t xml:space="preserve"> and potential confusion</w:t>
      </w:r>
      <w:r w:rsidR="00B26661">
        <w:t xml:space="preserve"> </w:t>
      </w:r>
      <w:r w:rsidR="0080319E">
        <w:t>for voters</w:t>
      </w:r>
      <w:r w:rsidR="00B26661">
        <w:t>.</w:t>
      </w:r>
      <w:r w:rsidR="00797B5E">
        <w:t xml:space="preserve"> </w:t>
      </w:r>
    </w:p>
    <w:p w14:paraId="473AEEA8" w14:textId="6875C983" w:rsidR="00740DB3" w:rsidRDefault="006F7185" w:rsidP="00740DB3">
      <w:pPr>
        <w:pStyle w:val="BodyText"/>
      </w:pPr>
      <w:r>
        <w:t>The VEC prefers to make minimal</w:t>
      </w:r>
      <w:r w:rsidR="009E3726">
        <w:t xml:space="preserve"> ward boundary</w:t>
      </w:r>
      <w:r>
        <w:t xml:space="preserve"> adjustments in subdivision reviews in order to affect the least possible number of voters </w:t>
      </w:r>
      <w:r w:rsidR="00E03DF9">
        <w:t xml:space="preserve">while </w:t>
      </w:r>
      <w:r>
        <w:t>at the same time ensur</w:t>
      </w:r>
      <w:r w:rsidR="00E03DF9">
        <w:t>ing</w:t>
      </w:r>
      <w:r>
        <w:t xml:space="preserve"> that the electoral structure will provide fair and equitable representation for voters until the next </w:t>
      </w:r>
      <w:r w:rsidR="0041469B">
        <w:t>election</w:t>
      </w:r>
      <w:r>
        <w:t>.</w:t>
      </w:r>
      <w:r w:rsidR="00795E8D">
        <w:t xml:space="preserve"> </w:t>
      </w:r>
      <w:r w:rsidR="00BD7A5B">
        <w:t xml:space="preserve">Councillor Kurt’s proposal did not reflect </w:t>
      </w:r>
      <w:r w:rsidR="00E03DF9">
        <w:t>a</w:t>
      </w:r>
      <w:r w:rsidR="00BD7A5B">
        <w:t xml:space="preserve"> ‘minimal change’ approach</w:t>
      </w:r>
      <w:r w:rsidR="0080319E">
        <w:t xml:space="preserve"> and therefore</w:t>
      </w:r>
      <w:r w:rsidR="00DF24A5">
        <w:t>,</w:t>
      </w:r>
      <w:r w:rsidR="0080319E">
        <w:t xml:space="preserve"> could not be considered in its entirety</w:t>
      </w:r>
      <w:r w:rsidR="00BD7A5B">
        <w:t>.</w:t>
      </w:r>
      <w:r w:rsidR="0080319E">
        <w:t xml:space="preserve"> </w:t>
      </w:r>
    </w:p>
    <w:p w14:paraId="3AE28351" w14:textId="2B9C0E78" w:rsidR="00025302" w:rsidRDefault="0030192F" w:rsidP="00740DB3">
      <w:pPr>
        <w:pStyle w:val="BodyText"/>
      </w:pPr>
      <w:r>
        <w:t>Moreover</w:t>
      </w:r>
      <w:r w:rsidR="002B5518">
        <w:t xml:space="preserve">, </w:t>
      </w:r>
      <w:r w:rsidR="009A300F">
        <w:t>the VEC noted that</w:t>
      </w:r>
      <w:r w:rsidR="006B47E6">
        <w:t xml:space="preserve"> </w:t>
      </w:r>
      <w:r w:rsidR="0003076D">
        <w:t>the</w:t>
      </w:r>
      <w:r>
        <w:t xml:space="preserve"> alternative proposed by Councillor Kurt</w:t>
      </w:r>
      <w:r w:rsidR="0003076D">
        <w:t xml:space="preserve"> would</w:t>
      </w:r>
      <w:r>
        <w:t xml:space="preserve"> require</w:t>
      </w:r>
      <w:r w:rsidR="0003076D">
        <w:t xml:space="preserve"> divid</w:t>
      </w:r>
      <w:r>
        <w:t>ing</w:t>
      </w:r>
      <w:r w:rsidR="0003076D">
        <w:t xml:space="preserve"> several suburbs and communities of interest</w:t>
      </w:r>
      <w:r w:rsidR="00DF24A5">
        <w:t xml:space="preserve"> – more so than the VEC’s final recommendation</w:t>
      </w:r>
      <w:r w:rsidR="006B47E6">
        <w:t>.</w:t>
      </w:r>
      <w:r w:rsidR="00E16008">
        <w:t xml:space="preserve"> </w:t>
      </w:r>
      <w:r w:rsidR="009E3726">
        <w:t>While all of Roxburgh Park would remain in Aitken Ward</w:t>
      </w:r>
      <w:r w:rsidR="000D124D">
        <w:t>,</w:t>
      </w:r>
      <w:r>
        <w:t xml:space="preserve"> </w:t>
      </w:r>
      <w:r w:rsidR="009E3726">
        <w:t xml:space="preserve">Attwood and Westmeadows would still </w:t>
      </w:r>
      <w:r w:rsidR="00B26661">
        <w:t xml:space="preserve">be </w:t>
      </w:r>
      <w:r w:rsidR="0080319E">
        <w:t>divided</w:t>
      </w:r>
      <w:r w:rsidR="00B26661">
        <w:t xml:space="preserve"> across wards</w:t>
      </w:r>
      <w:r w:rsidR="009E3726">
        <w:t xml:space="preserve">. </w:t>
      </w:r>
      <w:r w:rsidR="0003076D">
        <w:t>Councillor Kurt’s</w:t>
      </w:r>
      <w:r w:rsidR="000C15CB">
        <w:t xml:space="preserve"> alternative</w:t>
      </w:r>
      <w:r w:rsidR="00AA189F">
        <w:t xml:space="preserve"> </w:t>
      </w:r>
      <w:r w:rsidR="00E16008">
        <w:t>boundar</w:t>
      </w:r>
      <w:r w:rsidR="00AA189F">
        <w:t xml:space="preserve">ies </w:t>
      </w:r>
      <w:r w:rsidR="00E16008">
        <w:t xml:space="preserve">would </w:t>
      </w:r>
      <w:r w:rsidR="00A145D2">
        <w:t xml:space="preserve">also </w:t>
      </w:r>
      <w:r w:rsidR="004338D0">
        <w:t xml:space="preserve">more significantly </w:t>
      </w:r>
      <w:r w:rsidR="00E16008">
        <w:t>divid</w:t>
      </w:r>
      <w:r w:rsidR="009E3726">
        <w:t>e</w:t>
      </w:r>
      <w:r w:rsidR="009A300F">
        <w:t xml:space="preserve"> </w:t>
      </w:r>
      <w:r w:rsidR="00E16008">
        <w:t>Greenvale</w:t>
      </w:r>
      <w:r w:rsidR="00DF24A5">
        <w:t xml:space="preserve">, </w:t>
      </w:r>
      <w:r w:rsidR="00AA189F">
        <w:t xml:space="preserve">splitting </w:t>
      </w:r>
      <w:r w:rsidR="002B5518">
        <w:t>the suburb</w:t>
      </w:r>
      <w:r w:rsidR="00AA189F">
        <w:t xml:space="preserve"> three</w:t>
      </w:r>
      <w:r w:rsidR="00965D12">
        <w:t xml:space="preserve"> </w:t>
      </w:r>
      <w:r w:rsidR="00AA189F">
        <w:t>ways</w:t>
      </w:r>
      <w:r w:rsidR="00DF24A5">
        <w:t>,</w:t>
      </w:r>
      <w:r w:rsidR="0003076D">
        <w:t xml:space="preserve"> and </w:t>
      </w:r>
      <w:r w:rsidR="00DF24A5">
        <w:t>placing</w:t>
      </w:r>
      <w:r w:rsidR="00D86FBF">
        <w:t xml:space="preserve"> </w:t>
      </w:r>
      <w:r w:rsidR="00E16008">
        <w:t>most of residential Greenvale in</w:t>
      </w:r>
      <w:r w:rsidR="006B47E6">
        <w:t>to</w:t>
      </w:r>
      <w:r w:rsidR="00D86FBF">
        <w:t xml:space="preserve"> </w:t>
      </w:r>
      <w:r w:rsidR="00E16008">
        <w:t>rural Jacksons Creek Ward</w:t>
      </w:r>
      <w:r w:rsidR="00D86FBF">
        <w:t xml:space="preserve">, </w:t>
      </w:r>
      <w:r w:rsidR="009E3726">
        <w:t xml:space="preserve">which </w:t>
      </w:r>
      <w:r w:rsidR="00DF24A5">
        <w:t>neither the</w:t>
      </w:r>
      <w:r w:rsidR="009E3726">
        <w:t xml:space="preserve"> Greenvale Residents</w:t>
      </w:r>
      <w:r>
        <w:t>’</w:t>
      </w:r>
      <w:r w:rsidR="009E3726">
        <w:t xml:space="preserve"> Association </w:t>
      </w:r>
      <w:r w:rsidR="00DF24A5">
        <w:t xml:space="preserve">or </w:t>
      </w:r>
      <w:r w:rsidR="002B5518">
        <w:t>Councillor Jessop</w:t>
      </w:r>
      <w:r w:rsidR="00DF24A5">
        <w:t xml:space="preserve"> had proposed</w:t>
      </w:r>
      <w:r w:rsidR="002B5518">
        <w:t xml:space="preserve">. </w:t>
      </w:r>
    </w:p>
    <w:p w14:paraId="1ED47D90" w14:textId="0B7824F9" w:rsidR="00982389" w:rsidRPr="00E20252" w:rsidRDefault="0003076D" w:rsidP="00982389">
      <w:pPr>
        <w:pStyle w:val="BodyText"/>
        <w:rPr>
          <w:rFonts w:cstheme="minorHAnsi"/>
        </w:rPr>
      </w:pPr>
      <w:r>
        <w:t>Perhaps the most significant aspect of Councillor Kurt’s proposals was</w:t>
      </w:r>
      <w:r w:rsidR="00982389">
        <w:t xml:space="preserve"> to shift the eastern boundary of Jacksons Creek Ward to Mickleham Road to better recognise the current limits of</w:t>
      </w:r>
      <w:r w:rsidR="00D86FBF">
        <w:t xml:space="preserve"> Melbourne’s</w:t>
      </w:r>
      <w:r w:rsidR="00982389">
        <w:t xml:space="preserve"> urban growth </w:t>
      </w:r>
      <w:r w:rsidR="00D86FBF">
        <w:t>in the City of Hume</w:t>
      </w:r>
      <w:r w:rsidR="00982389">
        <w:t xml:space="preserve">. The VEC recognised the merits </w:t>
      </w:r>
      <w:r w:rsidR="00A9704A">
        <w:t>of</w:t>
      </w:r>
      <w:r w:rsidR="00982389">
        <w:t xml:space="preserve"> this argument but preferred retaining </w:t>
      </w:r>
      <w:r w:rsidR="003C748F">
        <w:t>the</w:t>
      </w:r>
      <w:r w:rsidR="00982389">
        <w:t xml:space="preserve"> Deep Creek and Wildwood Road boundary. </w:t>
      </w:r>
      <w:r w:rsidR="00D86FBF">
        <w:t xml:space="preserve">This is because </w:t>
      </w:r>
      <w:r w:rsidR="00982389">
        <w:t>Deep Creek is a longstanding boundary at council and state levels</w:t>
      </w:r>
      <w:r w:rsidR="00A9704A">
        <w:t>, and</w:t>
      </w:r>
      <w:r>
        <w:t xml:space="preserve"> </w:t>
      </w:r>
      <w:r w:rsidR="00A9704A">
        <w:t>i</w:t>
      </w:r>
      <w:r>
        <w:t xml:space="preserve">t </w:t>
      </w:r>
      <w:r w:rsidR="00982389">
        <w:t>has divided the Sunbury</w:t>
      </w:r>
      <w:r w:rsidR="003C748F">
        <w:t>-</w:t>
      </w:r>
      <w:r w:rsidR="00982389">
        <w:t>Bulla rural communit</w:t>
      </w:r>
      <w:r w:rsidR="00D86FBF">
        <w:t>y of interest</w:t>
      </w:r>
      <w:r w:rsidR="00982389">
        <w:t xml:space="preserve"> from the outer </w:t>
      </w:r>
      <w:r w:rsidR="00982389" w:rsidRPr="00E20252">
        <w:t xml:space="preserve">urban </w:t>
      </w:r>
      <w:r w:rsidR="00982389" w:rsidRPr="00E20252">
        <w:rPr>
          <w:rFonts w:cstheme="minorHAnsi"/>
        </w:rPr>
        <w:t>areas for a long time</w:t>
      </w:r>
      <w:bookmarkStart w:id="16" w:name="_Hlk37258653"/>
      <w:r w:rsidR="00982389" w:rsidRPr="00E20252">
        <w:rPr>
          <w:rFonts w:cstheme="minorHAnsi"/>
        </w:rPr>
        <w:t>.</w:t>
      </w:r>
      <w:bookmarkStart w:id="17" w:name="_Hlk37259288"/>
      <w:r w:rsidR="00982389" w:rsidRPr="00E20252">
        <w:rPr>
          <w:rFonts w:cstheme="minorHAnsi"/>
        </w:rPr>
        <w:t xml:space="preserve"> </w:t>
      </w:r>
      <w:bookmarkEnd w:id="16"/>
      <w:bookmarkEnd w:id="17"/>
    </w:p>
    <w:p w14:paraId="58E1CD8F" w14:textId="1CABF045" w:rsidR="00982389" w:rsidRDefault="00982389" w:rsidP="00740DB3">
      <w:pPr>
        <w:pStyle w:val="BodyText"/>
      </w:pPr>
      <w:r>
        <w:rPr>
          <w:rFonts w:cstheme="minorHAnsi"/>
        </w:rPr>
        <w:lastRenderedPageBreak/>
        <w:t>Further, while</w:t>
      </w:r>
      <w:r w:rsidRPr="00E20252">
        <w:rPr>
          <w:rFonts w:cstheme="minorHAnsi"/>
        </w:rPr>
        <w:t xml:space="preserve"> </w:t>
      </w:r>
      <w:r w:rsidRPr="00E20252">
        <w:rPr>
          <w:rFonts w:cstheme="minorHAnsi"/>
          <w:lang w:val="en-US"/>
        </w:rPr>
        <w:t xml:space="preserve">the area between </w:t>
      </w:r>
      <w:proofErr w:type="spellStart"/>
      <w:r w:rsidRPr="00E20252">
        <w:rPr>
          <w:rFonts w:cstheme="minorHAnsi"/>
          <w:lang w:val="en-US"/>
        </w:rPr>
        <w:t>Mickleham</w:t>
      </w:r>
      <w:proofErr w:type="spellEnd"/>
      <w:r w:rsidRPr="00E20252">
        <w:rPr>
          <w:rFonts w:cstheme="minorHAnsi"/>
          <w:lang w:val="en-US"/>
        </w:rPr>
        <w:t xml:space="preserve"> Road and Deep Creek would be allocated to Jacksons Creek Ward in </w:t>
      </w:r>
      <w:proofErr w:type="spellStart"/>
      <w:r w:rsidRPr="00E20252">
        <w:rPr>
          <w:rFonts w:cstheme="minorHAnsi"/>
          <w:lang w:val="en-US"/>
        </w:rPr>
        <w:t>Councillor</w:t>
      </w:r>
      <w:proofErr w:type="spellEnd"/>
      <w:r w:rsidRPr="00E20252">
        <w:rPr>
          <w:rFonts w:cstheme="minorHAnsi"/>
          <w:lang w:val="en-US"/>
        </w:rPr>
        <w:t xml:space="preserve"> Kurt’s proposal, the VEC is of the view that </w:t>
      </w:r>
      <w:r w:rsidR="005D05B8">
        <w:rPr>
          <w:rFonts w:cstheme="minorHAnsi"/>
          <w:lang w:val="en-US"/>
        </w:rPr>
        <w:t xml:space="preserve">while </w:t>
      </w:r>
      <w:r w:rsidRPr="00E20252">
        <w:rPr>
          <w:rFonts w:cstheme="minorHAnsi"/>
          <w:lang w:val="en-US"/>
        </w:rPr>
        <w:t>this area is still mainly rural</w:t>
      </w:r>
      <w:r w:rsidR="00D86FBF">
        <w:rPr>
          <w:rFonts w:cstheme="minorHAnsi"/>
          <w:lang w:val="en-US"/>
        </w:rPr>
        <w:t>; it</w:t>
      </w:r>
      <w:r w:rsidRPr="00E20252">
        <w:rPr>
          <w:rFonts w:cstheme="minorHAnsi"/>
          <w:lang w:val="en-US"/>
        </w:rPr>
        <w:t xml:space="preserve"> is affected by urban growth</w:t>
      </w:r>
      <w:r w:rsidR="00D86FBF">
        <w:rPr>
          <w:rFonts w:cstheme="minorHAnsi"/>
          <w:lang w:val="en-US"/>
        </w:rPr>
        <w:t>;</w:t>
      </w:r>
      <w:r w:rsidRPr="00E20252">
        <w:rPr>
          <w:rFonts w:cstheme="minorHAnsi"/>
          <w:lang w:val="en-US"/>
        </w:rPr>
        <w:t xml:space="preserve"> and</w:t>
      </w:r>
      <w:r w:rsidR="00D86FBF">
        <w:rPr>
          <w:rFonts w:cstheme="minorHAnsi"/>
          <w:lang w:val="en-US"/>
        </w:rPr>
        <w:t xml:space="preserve"> it</w:t>
      </w:r>
      <w:r w:rsidRPr="00E20252">
        <w:rPr>
          <w:rFonts w:cstheme="minorHAnsi"/>
          <w:lang w:val="en-US"/>
        </w:rPr>
        <w:t xml:space="preserve"> has closer </w:t>
      </w:r>
      <w:r w:rsidR="00D86FBF">
        <w:rPr>
          <w:rFonts w:cstheme="minorHAnsi"/>
          <w:lang w:val="en-US"/>
        </w:rPr>
        <w:t>link</w:t>
      </w:r>
      <w:r w:rsidRPr="00E20252">
        <w:rPr>
          <w:rFonts w:cstheme="minorHAnsi"/>
          <w:lang w:val="en-US"/>
        </w:rPr>
        <w:t>s to the east (</w:t>
      </w:r>
      <w:r w:rsidR="00A9704A">
        <w:rPr>
          <w:rFonts w:cstheme="minorHAnsi"/>
          <w:lang w:val="en-US"/>
        </w:rPr>
        <w:t>and Craigieburn</w:t>
      </w:r>
      <w:r w:rsidRPr="00E20252">
        <w:rPr>
          <w:rFonts w:cstheme="minorHAnsi"/>
          <w:lang w:val="en-US"/>
        </w:rPr>
        <w:t xml:space="preserve">) </w:t>
      </w:r>
      <w:r w:rsidR="00D86FBF">
        <w:rPr>
          <w:rFonts w:cstheme="minorHAnsi"/>
          <w:lang w:val="en-US"/>
        </w:rPr>
        <w:t xml:space="preserve">compared </w:t>
      </w:r>
      <w:r w:rsidRPr="00E20252">
        <w:rPr>
          <w:rFonts w:cstheme="minorHAnsi"/>
          <w:lang w:val="en-US"/>
        </w:rPr>
        <w:t>to the west</w:t>
      </w:r>
      <w:r w:rsidR="005D05B8">
        <w:rPr>
          <w:rFonts w:cstheme="minorHAnsi"/>
          <w:lang w:val="en-US"/>
        </w:rPr>
        <w:t xml:space="preserve">. </w:t>
      </w:r>
      <w:r w:rsidR="00E44901">
        <w:rPr>
          <w:rFonts w:cstheme="minorHAnsi"/>
          <w:lang w:val="en-US"/>
        </w:rPr>
        <w:t xml:space="preserve">With only one bridge across Deep Creek, there is little interaction between the </w:t>
      </w:r>
      <w:proofErr w:type="spellStart"/>
      <w:r w:rsidR="00E44901">
        <w:rPr>
          <w:rFonts w:cstheme="minorHAnsi"/>
          <w:lang w:val="en-US"/>
        </w:rPr>
        <w:t>Mickleham</w:t>
      </w:r>
      <w:proofErr w:type="spellEnd"/>
      <w:r w:rsidR="00E44901">
        <w:rPr>
          <w:rFonts w:cstheme="minorHAnsi"/>
          <w:lang w:val="en-US"/>
        </w:rPr>
        <w:t xml:space="preserve"> area and the Sunbury-aligned area west of Deep Creek.</w:t>
      </w:r>
    </w:p>
    <w:p w14:paraId="6997D564" w14:textId="2EDD9FED" w:rsidR="00D86FBF" w:rsidRDefault="009A300F" w:rsidP="00FD7A58">
      <w:pPr>
        <w:pStyle w:val="BodyText"/>
      </w:pPr>
      <w:bookmarkStart w:id="18" w:name="_Hlk37248761"/>
      <w:r>
        <w:t xml:space="preserve">Under </w:t>
      </w:r>
      <w:r w:rsidR="004338D0">
        <w:t>Councillor Kurt’s</w:t>
      </w:r>
      <w:r>
        <w:t xml:space="preserve"> alternative, the </w:t>
      </w:r>
      <w:r w:rsidR="00B26661">
        <w:t>Northern</w:t>
      </w:r>
      <w:r w:rsidR="000C15CB">
        <w:t xml:space="preserve"> State Significant</w:t>
      </w:r>
      <w:r>
        <w:t xml:space="preserve"> </w:t>
      </w:r>
      <w:r w:rsidR="000C15CB">
        <w:t>I</w:t>
      </w:r>
      <w:r>
        <w:t xml:space="preserve">ndustrial </w:t>
      </w:r>
      <w:r w:rsidR="000C15CB">
        <w:t>P</w:t>
      </w:r>
      <w:r>
        <w:t>recinct would be divide</w:t>
      </w:r>
      <w:r w:rsidR="00E91B75">
        <w:t>d, with Somerton in Aitken Ward</w:t>
      </w:r>
      <w:r w:rsidR="00A145D2">
        <w:t xml:space="preserve"> </w:t>
      </w:r>
      <w:r w:rsidR="00E91B75">
        <w:t>and Campbellfield in Meadow Valley Ward</w:t>
      </w:r>
      <w:r>
        <w:t>.</w:t>
      </w:r>
      <w:r w:rsidR="00FD7A58" w:rsidRPr="00FD7A58">
        <w:t xml:space="preserve"> </w:t>
      </w:r>
      <w:r w:rsidR="00982389">
        <w:t>The</w:t>
      </w:r>
      <w:r w:rsidR="00A145D2">
        <w:t xml:space="preserve"> industrial precinct </w:t>
      </w:r>
      <w:r w:rsidR="00A877AB">
        <w:t xml:space="preserve">is known to </w:t>
      </w:r>
      <w:r w:rsidR="00A145D2">
        <w:t xml:space="preserve">stretch north from the Metropolitan Ring Road </w:t>
      </w:r>
      <w:r w:rsidR="00E03DF9">
        <w:t xml:space="preserve">along Merri Creek </w:t>
      </w:r>
      <w:r w:rsidR="00A145D2">
        <w:t xml:space="preserve">to include Campbellfield, Somerton and a small section of Craigieburn. </w:t>
      </w:r>
    </w:p>
    <w:p w14:paraId="00E2537F" w14:textId="77777777" w:rsidR="00A519D5" w:rsidRDefault="00D86FBF" w:rsidP="00FD7A58">
      <w:pPr>
        <w:pStyle w:val="BodyText"/>
      </w:pPr>
      <w:r>
        <w:t>The VEC does not favour splitting the industrial precinct, which it has kept intact in</w:t>
      </w:r>
      <w:r w:rsidR="00525801">
        <w:t xml:space="preserve"> its</w:t>
      </w:r>
      <w:r>
        <w:t xml:space="preserve"> past electoral representation reviews. </w:t>
      </w:r>
      <w:r w:rsidR="00525801">
        <w:t>The VEC</w:t>
      </w:r>
      <w:r>
        <w:t xml:space="preserve"> considers </w:t>
      </w:r>
      <w:r w:rsidR="004338D0">
        <w:t xml:space="preserve">that </w:t>
      </w:r>
      <w:r>
        <w:t xml:space="preserve">there is a stronger case for keeping the industrial precinct and this community of interest </w:t>
      </w:r>
      <w:r w:rsidR="00525801">
        <w:t>intact</w:t>
      </w:r>
      <w:r>
        <w:t xml:space="preserve">. </w:t>
      </w:r>
      <w:r w:rsidR="00982389">
        <w:t xml:space="preserve">The VEC notes that its </w:t>
      </w:r>
      <w:r w:rsidR="00A877AB">
        <w:t>proposed boundary adjustments</w:t>
      </w:r>
      <w:r w:rsidR="00E03DF9">
        <w:t xml:space="preserve"> would</w:t>
      </w:r>
      <w:r w:rsidR="0003076D">
        <w:t xml:space="preserve"> keep the </w:t>
      </w:r>
      <w:r w:rsidR="00525801">
        <w:t xml:space="preserve">whole </w:t>
      </w:r>
      <w:r w:rsidR="0003076D">
        <w:t xml:space="preserve">industrial precinct </w:t>
      </w:r>
      <w:r w:rsidR="00A877AB">
        <w:t>within</w:t>
      </w:r>
      <w:r w:rsidR="0003076D">
        <w:t xml:space="preserve"> Meadow Valley Ward, which would</w:t>
      </w:r>
      <w:r w:rsidR="00E03DF9">
        <w:t xml:space="preserve"> </w:t>
      </w:r>
      <w:r w:rsidR="00A877AB">
        <w:t xml:space="preserve">also </w:t>
      </w:r>
      <w:r w:rsidR="00E03DF9">
        <w:t xml:space="preserve">respond to Councillor Kurt’s </w:t>
      </w:r>
      <w:r w:rsidR="00525801">
        <w:t>support fo</w:t>
      </w:r>
      <w:r w:rsidR="00982389">
        <w:t>r</w:t>
      </w:r>
      <w:r w:rsidR="00E03DF9">
        <w:t xml:space="preserve"> Campbellfield </w:t>
      </w:r>
      <w:r w:rsidR="00982389">
        <w:t xml:space="preserve">to </w:t>
      </w:r>
      <w:r w:rsidR="00A877AB">
        <w:t>be in</w:t>
      </w:r>
      <w:r w:rsidR="00E03DF9">
        <w:t xml:space="preserve"> Meadow Valley War</w:t>
      </w:r>
      <w:r>
        <w:t>d</w:t>
      </w:r>
      <w:r w:rsidR="00FD7A58">
        <w:t xml:space="preserve">. </w:t>
      </w:r>
      <w:r w:rsidR="0003076D">
        <w:t xml:space="preserve">The VEC had previously </w:t>
      </w:r>
      <w:r w:rsidR="004338D0">
        <w:t>placed</w:t>
      </w:r>
      <w:r w:rsidR="0003076D">
        <w:t xml:space="preserve"> the industrial precinct in Aitken Ward </w:t>
      </w:r>
      <w:r w:rsidR="00A877AB">
        <w:t>out of necessity, for the Council’s three wards to</w:t>
      </w:r>
      <w:r w:rsidR="0003076D">
        <w:t xml:space="preserve"> </w:t>
      </w:r>
      <w:r w:rsidR="00A877AB">
        <w:t>meet the legislated equality requirement</w:t>
      </w:r>
      <w:r w:rsidR="0003076D">
        <w:t xml:space="preserve">.  </w:t>
      </w:r>
    </w:p>
    <w:bookmarkEnd w:id="18"/>
    <w:p w14:paraId="05A9CD69" w14:textId="77777777" w:rsidR="008C7B33" w:rsidRDefault="008C7B33" w:rsidP="00150CAC">
      <w:pPr>
        <w:pStyle w:val="BodyText"/>
      </w:pPr>
      <w:r>
        <w:t xml:space="preserve">The VEC also considered </w:t>
      </w:r>
      <w:r w:rsidR="0003076D">
        <w:t>Councillor Kurt’s preference for</w:t>
      </w:r>
      <w:r>
        <w:t xml:space="preserve"> Tullamarine</w:t>
      </w:r>
      <w:r w:rsidR="0003076D">
        <w:t xml:space="preserve"> to be</w:t>
      </w:r>
      <w:r>
        <w:t xml:space="preserve"> in Meadow Valley </w:t>
      </w:r>
      <w:r w:rsidR="00451229">
        <w:t>Ward</w:t>
      </w:r>
      <w:r w:rsidR="0003076D">
        <w:t xml:space="preserve">, but it </w:t>
      </w:r>
      <w:r w:rsidR="00A519D5">
        <w:t>could not make this change</w:t>
      </w:r>
      <w:r w:rsidR="00982389">
        <w:t xml:space="preserve"> based on numbers alone</w:t>
      </w:r>
      <w:r w:rsidR="00260870">
        <w:t xml:space="preserve">. </w:t>
      </w:r>
      <w:r w:rsidR="00982389">
        <w:t>According to</w:t>
      </w:r>
      <w:r w:rsidR="00451229">
        <w:t xml:space="preserve"> current enrolments, </w:t>
      </w:r>
      <w:r>
        <w:t xml:space="preserve">Tullamarine </w:t>
      </w:r>
      <w:r w:rsidR="00451229">
        <w:t>has</w:t>
      </w:r>
      <w:r w:rsidR="00260870">
        <w:t xml:space="preserve"> </w:t>
      </w:r>
      <w:r>
        <w:t>5,519 voters.</w:t>
      </w:r>
      <w:r w:rsidR="00260870">
        <w:t xml:space="preserve"> </w:t>
      </w:r>
      <w:r w:rsidR="00525801">
        <w:t xml:space="preserve">To include </w:t>
      </w:r>
      <w:r w:rsidR="00A519D5">
        <w:t xml:space="preserve">Tullamarine </w:t>
      </w:r>
      <w:r w:rsidR="00982389">
        <w:t>in</w:t>
      </w:r>
      <w:r w:rsidR="00A519D5">
        <w:t xml:space="preserve"> Meadow Valley Ward </w:t>
      </w:r>
      <w:r w:rsidR="00797B5E">
        <w:t xml:space="preserve">would </w:t>
      </w:r>
      <w:r w:rsidR="00982389">
        <w:t xml:space="preserve">substantially </w:t>
      </w:r>
      <w:r w:rsidR="00115F60">
        <w:t>compromis</w:t>
      </w:r>
      <w:r w:rsidR="00797B5E">
        <w:t>e</w:t>
      </w:r>
      <w:r w:rsidR="00115F60">
        <w:t xml:space="preserve"> the </w:t>
      </w:r>
      <w:r w:rsidR="0003076D">
        <w:t xml:space="preserve">VEC’s </w:t>
      </w:r>
      <w:r w:rsidR="00525801">
        <w:t xml:space="preserve">other </w:t>
      </w:r>
      <w:r w:rsidR="00115F60">
        <w:t>boundar</w:t>
      </w:r>
      <w:r w:rsidR="00451229">
        <w:t>y adjustments</w:t>
      </w:r>
      <w:r w:rsidR="00115F60">
        <w:t xml:space="preserve"> in this subdivision review.</w:t>
      </w:r>
      <w:r w:rsidR="00797B5E">
        <w:t xml:space="preserve"> </w:t>
      </w:r>
      <w:r w:rsidR="00184C4A">
        <w:t xml:space="preserve">Moreover, the VEC was reluctant to split Tullamarine from </w:t>
      </w:r>
      <w:r w:rsidR="000A271D">
        <w:t xml:space="preserve">the closely related </w:t>
      </w:r>
      <w:r w:rsidR="00184C4A">
        <w:t xml:space="preserve">Melbourne Airport and </w:t>
      </w:r>
      <w:r w:rsidR="000A271D">
        <w:t xml:space="preserve">the </w:t>
      </w:r>
      <w:r w:rsidR="00184C4A">
        <w:t>related Westmeadows industrial precinct.</w:t>
      </w:r>
    </w:p>
    <w:p w14:paraId="682CD017" w14:textId="77777777" w:rsidR="006B47E6" w:rsidRPr="006B47E6" w:rsidRDefault="00A92A6F" w:rsidP="004827BB">
      <w:pPr>
        <w:pStyle w:val="BodyText"/>
        <w:rPr>
          <w:b/>
          <w:bCs/>
        </w:rPr>
      </w:pPr>
      <w:r>
        <w:rPr>
          <w:b/>
          <w:bCs/>
        </w:rPr>
        <w:t>Councillor Jessop’s proposal</w:t>
      </w:r>
      <w:r w:rsidR="000A271D">
        <w:rPr>
          <w:b/>
          <w:bCs/>
        </w:rPr>
        <w:t xml:space="preserve"> – uniting Greenvale and Roxburgh Park</w:t>
      </w:r>
    </w:p>
    <w:p w14:paraId="1A37F17A" w14:textId="399AD7B0" w:rsidR="000A271D" w:rsidRDefault="00175DBA" w:rsidP="00A92A6F">
      <w:pPr>
        <w:pStyle w:val="BodyText"/>
      </w:pPr>
      <w:r>
        <w:t xml:space="preserve">The VEC also considered Councillor Jessop’s proposal. </w:t>
      </w:r>
      <w:r w:rsidR="00DF56F6">
        <w:t xml:space="preserve">Councillor Jessop’s </w:t>
      </w:r>
      <w:r w:rsidR="00344782">
        <w:t xml:space="preserve">additional </w:t>
      </w:r>
      <w:r w:rsidR="00174633">
        <w:t xml:space="preserve">boundary </w:t>
      </w:r>
      <w:r w:rsidR="00DF56F6">
        <w:t>adjustment between Aitken and Meadow Valley Ward</w:t>
      </w:r>
      <w:r w:rsidR="00174633">
        <w:t>s</w:t>
      </w:r>
      <w:r w:rsidR="00A92A6F">
        <w:t xml:space="preserve"> </w:t>
      </w:r>
      <w:r w:rsidR="00DF56F6">
        <w:t>would un</w:t>
      </w:r>
      <w:r w:rsidR="00A92A6F">
        <w:t>ite two major suburbs</w:t>
      </w:r>
      <w:r w:rsidR="000A271D">
        <w:t xml:space="preserve">, Greenvale (which was split at the last electoral representation review) and Roxburgh Park (which the VEC proposed to split in this subdivision review). </w:t>
      </w:r>
      <w:r w:rsidR="00E013C7">
        <w:t xml:space="preserve">It would also respond to the Greenvale Residents Association’s support for Greenvale </w:t>
      </w:r>
      <w:r w:rsidR="00627B79">
        <w:t>to be</w:t>
      </w:r>
      <w:r w:rsidR="00E013C7">
        <w:t xml:space="preserve"> in one ward.</w:t>
      </w:r>
    </w:p>
    <w:p w14:paraId="6F37971B" w14:textId="77777777" w:rsidR="00A92A6F" w:rsidRDefault="000A271D" w:rsidP="00A92A6F">
      <w:pPr>
        <w:pStyle w:val="BodyText"/>
      </w:pPr>
      <w:r>
        <w:lastRenderedPageBreak/>
        <w:t>The VEC consider</w:t>
      </w:r>
      <w:r w:rsidR="00E013C7">
        <w:t>ed</w:t>
      </w:r>
      <w:r>
        <w:t xml:space="preserve"> it a strength of Councillor Jessop’s proposal to reduce the number of localities split by the current and proposed ward boundaries</w:t>
      </w:r>
      <w:r w:rsidR="00C06611">
        <w:t xml:space="preserve">. </w:t>
      </w:r>
      <w:r w:rsidR="00627B79">
        <w:t>It noted that thi</w:t>
      </w:r>
      <w:r>
        <w:t>s</w:t>
      </w:r>
      <w:r w:rsidR="00A92A6F">
        <w:t xml:space="preserve"> additional ward boundary adjustment would reduce the total number of localities split through th</w:t>
      </w:r>
      <w:r w:rsidR="00627B79">
        <w:t>e</w:t>
      </w:r>
      <w:r w:rsidR="00A92A6F">
        <w:t xml:space="preserve"> subdivision review to</w:t>
      </w:r>
      <w:r w:rsidR="00E013C7">
        <w:t xml:space="preserve"> just</w:t>
      </w:r>
      <w:r w:rsidR="00A92A6F">
        <w:t xml:space="preserve"> Attwood, Westmeadows and a </w:t>
      </w:r>
      <w:r w:rsidR="00627B79">
        <w:t xml:space="preserve">very </w:t>
      </w:r>
      <w:r w:rsidR="00A92A6F">
        <w:t xml:space="preserve">small section of Craigieburn east. </w:t>
      </w:r>
    </w:p>
    <w:p w14:paraId="42ACD315" w14:textId="38FD5D2E" w:rsidR="006D4DAF" w:rsidRDefault="00F82E62" w:rsidP="004827BB">
      <w:pPr>
        <w:pStyle w:val="BodyText"/>
      </w:pPr>
      <w:r>
        <w:t xml:space="preserve">However, the VEC </w:t>
      </w:r>
      <w:r w:rsidR="00627B79">
        <w:t xml:space="preserve">noted that there were also possible drawbacks to Councillor Jessop’s proposal. </w:t>
      </w:r>
      <w:r w:rsidR="00BB007C">
        <w:t xml:space="preserve">Ward boundaries are more convoluted than those proposed in the preliminary report. More importantly, the </w:t>
      </w:r>
      <w:r w:rsidR="00627B79">
        <w:t>VEC considered</w:t>
      </w:r>
      <w:r>
        <w:t xml:space="preserve"> </w:t>
      </w:r>
      <w:r w:rsidR="00E013C7">
        <w:t>that</w:t>
      </w:r>
      <w:r>
        <w:t xml:space="preserve"> Greenvale and Roxburgh Park may not be in the most appropriate wards. </w:t>
      </w:r>
      <w:r w:rsidR="00627B79">
        <w:t xml:space="preserve">According to the demographic information available, </w:t>
      </w:r>
      <w:r>
        <w:t xml:space="preserve">Roxburgh Park is a well-established suburb, with </w:t>
      </w:r>
      <w:r w:rsidR="00E013C7">
        <w:t>greater</w:t>
      </w:r>
      <w:r>
        <w:t xml:space="preserve"> cultural and linguistic diversity and a high degree of social diversity. In this sense, as Councillor Kurt had </w:t>
      </w:r>
      <w:r w:rsidR="00577CC0">
        <w:t xml:space="preserve">suggested </w:t>
      </w:r>
      <w:r>
        <w:t xml:space="preserve">Roxburgh Park </w:t>
      </w:r>
      <w:r w:rsidR="00627B79">
        <w:t>was likely to be a better fit for</w:t>
      </w:r>
      <w:r w:rsidR="00577CC0">
        <w:t xml:space="preserve"> Meadow Valley Ward</w:t>
      </w:r>
      <w:r>
        <w:t xml:space="preserve">. </w:t>
      </w:r>
      <w:r w:rsidR="00E013C7">
        <w:t xml:space="preserve">On the other hand, </w:t>
      </w:r>
      <w:r w:rsidR="00627B79">
        <w:t xml:space="preserve">the VEC observed that </w:t>
      </w:r>
      <w:r>
        <w:t xml:space="preserve">Greenvale </w:t>
      </w:r>
      <w:r w:rsidR="00627B79">
        <w:t>is</w:t>
      </w:r>
      <w:r>
        <w:t xml:space="preserve"> mixed</w:t>
      </w:r>
      <w:r w:rsidR="00627B79">
        <w:t>,</w:t>
      </w:r>
      <w:r w:rsidR="00E013C7">
        <w:t xml:space="preserve"> </w:t>
      </w:r>
      <w:r w:rsidR="00627B79">
        <w:t>containing both</w:t>
      </w:r>
      <w:r w:rsidR="00E013C7">
        <w:t xml:space="preserve"> established and growth areas but</w:t>
      </w:r>
      <w:r>
        <w:t xml:space="preserve"> includ</w:t>
      </w:r>
      <w:r w:rsidR="00627B79">
        <w:t>ing</w:t>
      </w:r>
      <w:r>
        <w:t xml:space="preserve"> a large component of growing residential areas north of Somerton Road, which would suggest </w:t>
      </w:r>
      <w:r w:rsidR="00627B79">
        <w:t xml:space="preserve">that Greenvale </w:t>
      </w:r>
      <w:r w:rsidR="00E013C7">
        <w:t xml:space="preserve">could </w:t>
      </w:r>
      <w:r w:rsidR="00627B79">
        <w:t xml:space="preserve">be </w:t>
      </w:r>
      <w:r w:rsidR="6CB3FA0A">
        <w:t xml:space="preserve">a better </w:t>
      </w:r>
      <w:r>
        <w:t xml:space="preserve">fit with Aitken Ward. </w:t>
      </w:r>
    </w:p>
    <w:p w14:paraId="7B2A923C" w14:textId="4083E07D" w:rsidR="00F82E62" w:rsidRDefault="006D4DAF" w:rsidP="004827BB">
      <w:pPr>
        <w:pStyle w:val="BodyText"/>
      </w:pPr>
      <w:r>
        <w:t>The VEC modelled a variation of Councillor Jessop’s proposal in which Greenvale would be in Aitken Ward and Roxburgh Park would be in Meadow Valley Ward</w:t>
      </w:r>
      <w:r w:rsidR="00E013C7">
        <w:t>,</w:t>
      </w:r>
      <w:r>
        <w:t xml:space="preserve"> but it found a significantly large number (28,094 voters or close to 20% of the total enrolment) would be affected by this variation. The VEC </w:t>
      </w:r>
      <w:r w:rsidR="00627B79">
        <w:t xml:space="preserve">therefore could </w:t>
      </w:r>
      <w:r w:rsidR="00E013C7">
        <w:t>not consider</w:t>
      </w:r>
      <w:r>
        <w:t xml:space="preserve"> this variation </w:t>
      </w:r>
      <w:r w:rsidR="00E013C7">
        <w:t>any further</w:t>
      </w:r>
      <w:r>
        <w:t xml:space="preserve">. </w:t>
      </w:r>
    </w:p>
    <w:p w14:paraId="2B38FE2F" w14:textId="5FD3B88F" w:rsidR="00AA1CE0" w:rsidRDefault="00A92A6F" w:rsidP="00A92A6F">
      <w:pPr>
        <w:pStyle w:val="BodyText"/>
      </w:pPr>
      <w:r>
        <w:t>The VEC found that Councillor Jessop’s proposal would also result in a small reduction in the number of voters affected in this subdivision review. By uniting Greenvale</w:t>
      </w:r>
      <w:r w:rsidR="00627B79">
        <w:t xml:space="preserve"> </w:t>
      </w:r>
      <w:r>
        <w:t xml:space="preserve">and keeping Roxburgh Park in Aitken Ward, 11,797 voters (or 7.7% of the total enrolment) would be affected and would change wards at the next election. </w:t>
      </w:r>
      <w:r w:rsidR="00E013C7">
        <w:t>Th</w:t>
      </w:r>
      <w:r w:rsidR="00627B79">
        <w:t xml:space="preserve">e VEC noted that this </w:t>
      </w:r>
      <w:r w:rsidR="00E013C7">
        <w:t>would result in</w:t>
      </w:r>
      <w:r>
        <w:t xml:space="preserve"> 675 </w:t>
      </w:r>
      <w:r w:rsidR="009F767A">
        <w:t xml:space="preserve">fewer </w:t>
      </w:r>
      <w:r>
        <w:t>voters affected by the ward boundary adjustments</w:t>
      </w:r>
      <w:r w:rsidR="00E013C7">
        <w:t xml:space="preserve"> </w:t>
      </w:r>
      <w:r w:rsidR="00135DBF">
        <w:t>recommended in</w:t>
      </w:r>
      <w:r w:rsidR="00E013C7">
        <w:t xml:space="preserve"> this</w:t>
      </w:r>
      <w:r w:rsidR="00135DBF">
        <w:t xml:space="preserve"> subdivision</w:t>
      </w:r>
      <w:r w:rsidR="00E013C7">
        <w:t xml:space="preserve"> review</w:t>
      </w:r>
      <w:r w:rsidR="00B841F2">
        <w:t xml:space="preserve"> compared to the boundary adjustments proposed in the preliminary report</w:t>
      </w:r>
      <w:r>
        <w:t>.</w:t>
      </w:r>
      <w:r w:rsidR="00E013C7">
        <w:t xml:space="preserve"> </w:t>
      </w:r>
    </w:p>
    <w:p w14:paraId="6A7BA532" w14:textId="20EEC59E" w:rsidR="00E013C7" w:rsidRDefault="00135DBF" w:rsidP="00A92A6F">
      <w:pPr>
        <w:pStyle w:val="BodyText"/>
      </w:pPr>
      <w:r>
        <w:t>Despite the potential drawbacks, t</w:t>
      </w:r>
      <w:r w:rsidR="00E013C7">
        <w:t>he VEC recommend</w:t>
      </w:r>
      <w:r w:rsidR="00B841F2">
        <w:t>s</w:t>
      </w:r>
      <w:r w:rsidR="00E013C7">
        <w:t xml:space="preserve"> the inclusion of Councillor Jessop’s additional ward boundary adjustment because of two factors:</w:t>
      </w:r>
    </w:p>
    <w:p w14:paraId="247D590A" w14:textId="76DDE803" w:rsidR="00AA1CE0" w:rsidRDefault="00AA1CE0" w:rsidP="00E013C7">
      <w:pPr>
        <w:pStyle w:val="BodyText"/>
        <w:numPr>
          <w:ilvl w:val="0"/>
          <w:numId w:val="18"/>
        </w:numPr>
      </w:pPr>
      <w:r>
        <w:t>A</w:t>
      </w:r>
      <w:r w:rsidR="00E013C7">
        <w:t xml:space="preserve"> slightly smaller number of voters would be affected by the ward boundary adjustments</w:t>
      </w:r>
      <w:r>
        <w:t xml:space="preserve">, which </w:t>
      </w:r>
      <w:r w:rsidR="00494A20">
        <w:t xml:space="preserve">was </w:t>
      </w:r>
      <w:r>
        <w:t>in line with the VEC’s principle to effect minimal change when conducting subdivision reviews.</w:t>
      </w:r>
    </w:p>
    <w:p w14:paraId="77CDA15B" w14:textId="793BE5F6" w:rsidR="00F40C53" w:rsidRDefault="00C95FD8" w:rsidP="00E013C7">
      <w:pPr>
        <w:pStyle w:val="BodyText"/>
        <w:numPr>
          <w:ilvl w:val="0"/>
          <w:numId w:val="18"/>
        </w:numPr>
      </w:pPr>
      <w:r>
        <w:lastRenderedPageBreak/>
        <w:t>The communities of interest in Greenvale and Roxburgh Park would be wholly contained within wards, which the VEC considered an improvement</w:t>
      </w:r>
      <w:r w:rsidR="00F40C53">
        <w:t xml:space="preserve"> </w:t>
      </w:r>
      <w:r w:rsidR="00577CC0">
        <w:t xml:space="preserve">to its proposal </w:t>
      </w:r>
      <w:r w:rsidR="00F40C53">
        <w:t xml:space="preserve">because it would reduce the number of suburbs split </w:t>
      </w:r>
      <w:r w:rsidR="00577CC0">
        <w:t>by the</w:t>
      </w:r>
      <w:r w:rsidR="00F40C53">
        <w:t xml:space="preserve"> current </w:t>
      </w:r>
      <w:r w:rsidR="009F767A">
        <w:t xml:space="preserve">ward boundaries </w:t>
      </w:r>
      <w:r w:rsidR="00F40C53">
        <w:t xml:space="preserve">and proposed boundary adjustments. </w:t>
      </w:r>
    </w:p>
    <w:p w14:paraId="26B42043" w14:textId="04E875DF" w:rsidR="00577CC0" w:rsidRDefault="00F40C53" w:rsidP="00135DBF">
      <w:pPr>
        <w:pStyle w:val="BodyText"/>
      </w:pPr>
      <w:r>
        <w:t xml:space="preserve">By uniting Greenvale in one ward, the VEC </w:t>
      </w:r>
      <w:r w:rsidR="00577CC0">
        <w:t>reasone</w:t>
      </w:r>
      <w:r>
        <w:t>d that it would provide the opportunity for Greenvale</w:t>
      </w:r>
      <w:r w:rsidR="00577CC0">
        <w:t xml:space="preserve">’s </w:t>
      </w:r>
      <w:r>
        <w:t>voters to elect a representative at the next election. Similarly, Roxburgh Park</w:t>
      </w:r>
      <w:r w:rsidR="00577CC0">
        <w:t xml:space="preserve">’s </w:t>
      </w:r>
      <w:r>
        <w:t xml:space="preserve">voters would not be </w:t>
      </w:r>
      <w:r w:rsidR="00135DBF">
        <w:t>disadvantaged by being divided</w:t>
      </w:r>
      <w:r w:rsidR="00577CC0">
        <w:t>. A</w:t>
      </w:r>
      <w:r>
        <w:t xml:space="preserve">lthough </w:t>
      </w:r>
      <w:r w:rsidR="00577CC0">
        <w:t>not in a ward with the other established suburbs, t</w:t>
      </w:r>
      <w:r>
        <w:t>he VEC</w:t>
      </w:r>
      <w:r w:rsidR="00577CC0">
        <w:t xml:space="preserve"> reasoned</w:t>
      </w:r>
      <w:r>
        <w:t xml:space="preserve"> that Roxburgh Park ha</w:t>
      </w:r>
      <w:r w:rsidR="00494A20">
        <w:t>d</w:t>
      </w:r>
      <w:r>
        <w:t xml:space="preserve"> been in Aitken Ward</w:t>
      </w:r>
      <w:r w:rsidR="00577CC0">
        <w:t xml:space="preserve"> with the growing residential areas in the north of the City of Hume over the past 15 years. </w:t>
      </w:r>
      <w:r>
        <w:t xml:space="preserve"> </w:t>
      </w:r>
    </w:p>
    <w:p w14:paraId="67467C16" w14:textId="77777777" w:rsidR="00A92A6F" w:rsidRPr="00A92A6F" w:rsidRDefault="00A92A6F" w:rsidP="004827BB">
      <w:pPr>
        <w:pStyle w:val="BodyText"/>
        <w:rPr>
          <w:b/>
          <w:bCs/>
        </w:rPr>
      </w:pPr>
      <w:r>
        <w:rPr>
          <w:b/>
          <w:bCs/>
        </w:rPr>
        <w:t>Summary</w:t>
      </w:r>
    </w:p>
    <w:p w14:paraId="1613385A" w14:textId="77777777" w:rsidR="00577CC0" w:rsidRDefault="00EF541C" w:rsidP="004827BB">
      <w:pPr>
        <w:pStyle w:val="BodyText"/>
      </w:pPr>
      <w:r>
        <w:t xml:space="preserve">The </w:t>
      </w:r>
      <w:r w:rsidR="00A877AB">
        <w:t>VEC therefore</w:t>
      </w:r>
      <w:r w:rsidR="00577CC0">
        <w:t xml:space="preserve"> </w:t>
      </w:r>
      <w:r w:rsidR="00135DBF">
        <w:t>recommends it</w:t>
      </w:r>
      <w:r w:rsidR="00577CC0">
        <w:t xml:space="preserve">s proposed ward boundary adjustments with </w:t>
      </w:r>
      <w:r w:rsidR="00135DBF">
        <w:t>an</w:t>
      </w:r>
      <w:r w:rsidR="00577CC0">
        <w:t xml:space="preserve"> additional</w:t>
      </w:r>
      <w:r w:rsidR="00A877AB">
        <w:t xml:space="preserve"> boundary adjustment between </w:t>
      </w:r>
      <w:r>
        <w:t>Aitken and Meadow Valley Wards</w:t>
      </w:r>
      <w:r w:rsidR="00577CC0">
        <w:t xml:space="preserve"> to ensure Greenvale </w:t>
      </w:r>
      <w:r w:rsidR="00135DBF">
        <w:t xml:space="preserve">is wholly contained in one ward </w:t>
      </w:r>
      <w:r w:rsidR="00577CC0">
        <w:t>and Roxburgh Park</w:t>
      </w:r>
      <w:r w:rsidR="00135DBF">
        <w:t xml:space="preserve"> is not split</w:t>
      </w:r>
      <w:r w:rsidR="00A877AB">
        <w:t xml:space="preserve">. </w:t>
      </w:r>
    </w:p>
    <w:p w14:paraId="7A659ECC" w14:textId="77777777" w:rsidR="00451229" w:rsidRDefault="00A877AB" w:rsidP="004827BB">
      <w:pPr>
        <w:pStyle w:val="BodyText"/>
      </w:pPr>
      <w:r>
        <w:t>The new ward boundary</w:t>
      </w:r>
      <w:r w:rsidR="00135DBF">
        <w:t xml:space="preserve"> between Aitken and Meadow Valley Wards</w:t>
      </w:r>
      <w:r w:rsidR="00EF541C">
        <w:t xml:space="preserve"> would </w:t>
      </w:r>
      <w:r w:rsidR="00573E11">
        <w:t xml:space="preserve">follow from </w:t>
      </w:r>
      <w:r w:rsidR="00451229">
        <w:t xml:space="preserve">west to east: Somerton Road, Moonee Ponds Creek, </w:t>
      </w:r>
      <w:proofErr w:type="spellStart"/>
      <w:r w:rsidR="00451229">
        <w:t>Dunhelen</w:t>
      </w:r>
      <w:proofErr w:type="spellEnd"/>
      <w:r w:rsidR="00451229">
        <w:t xml:space="preserve"> Lane, property boundaries in the north of Greenvale, Aitken Boulevard, Somerton Road, the railway line and Craigieburn Road.</w:t>
      </w:r>
    </w:p>
    <w:p w14:paraId="2789EA9A" w14:textId="77777777" w:rsidR="00B841F2" w:rsidRDefault="004338D0" w:rsidP="001E1710">
      <w:pPr>
        <w:pStyle w:val="BodyText"/>
      </w:pPr>
      <w:r>
        <w:t xml:space="preserve">By including this additional ward boundary adjustment, </w:t>
      </w:r>
      <w:r w:rsidR="001E1710">
        <w:t xml:space="preserve">the </w:t>
      </w:r>
      <w:r w:rsidR="00AA1CE0">
        <w:t xml:space="preserve">total </w:t>
      </w:r>
      <w:r w:rsidR="001E1710">
        <w:t xml:space="preserve">number of voters affected </w:t>
      </w:r>
      <w:r w:rsidR="00577CC0">
        <w:t xml:space="preserve">by changes </w:t>
      </w:r>
      <w:r w:rsidR="00115F60">
        <w:t xml:space="preserve">in this subdivision review </w:t>
      </w:r>
      <w:r w:rsidR="00AA1CE0">
        <w:t>was</w:t>
      </w:r>
      <w:r>
        <w:t xml:space="preserve"> reduced </w:t>
      </w:r>
      <w:r w:rsidR="001E1710">
        <w:t>to 11,797 (or 7.7% of the total enrolment)</w:t>
      </w:r>
      <w:r w:rsidR="009342CB">
        <w:t xml:space="preserve">. </w:t>
      </w:r>
      <w:r w:rsidR="001E1710">
        <w:t xml:space="preserve"> </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B841F2" w:rsidRPr="00AC3AF4" w14:paraId="3CD5E1B2" w14:textId="77777777" w:rsidTr="130FB08B">
        <w:trPr>
          <w:cantSplit/>
          <w:trHeight w:val="289"/>
          <w:jc w:val="center"/>
        </w:trPr>
        <w:tc>
          <w:tcPr>
            <w:tcW w:w="8673" w:type="dxa"/>
            <w:gridSpan w:val="4"/>
            <w:tcBorders>
              <w:top w:val="single" w:sz="8" w:space="0" w:color="auto"/>
              <w:left w:val="nil"/>
              <w:bottom w:val="single" w:sz="8" w:space="0" w:color="auto"/>
              <w:right w:val="nil"/>
            </w:tcBorders>
          </w:tcPr>
          <w:p w14:paraId="70F9DE66" w14:textId="77777777" w:rsidR="00B841F2" w:rsidRPr="00AC3AF4" w:rsidRDefault="00B841F2" w:rsidP="00E458DC">
            <w:pPr>
              <w:pStyle w:val="Tableheading"/>
            </w:pPr>
            <w:r>
              <w:t>Table 3: Voter numbers per ward with recommended boundaries</w:t>
            </w:r>
          </w:p>
        </w:tc>
      </w:tr>
      <w:tr w:rsidR="00B841F2" w:rsidRPr="00AC3AF4" w14:paraId="657C21B5" w14:textId="77777777" w:rsidTr="130FB08B">
        <w:trPr>
          <w:cantSplit/>
          <w:trHeight w:val="60"/>
          <w:jc w:val="center"/>
        </w:trPr>
        <w:tc>
          <w:tcPr>
            <w:tcW w:w="3583" w:type="dxa"/>
            <w:tcBorders>
              <w:top w:val="nil"/>
              <w:left w:val="nil"/>
              <w:bottom w:val="nil"/>
              <w:right w:val="nil"/>
              <w:tl2br w:val="nil"/>
              <w:tr2bl w:val="nil"/>
            </w:tcBorders>
            <w:shd w:val="clear" w:color="auto" w:fill="E5EEE1"/>
            <w:vAlign w:val="center"/>
          </w:tcPr>
          <w:p w14:paraId="74404034" w14:textId="77777777" w:rsidR="00B841F2" w:rsidRPr="00AC3AF4" w:rsidRDefault="00B841F2" w:rsidP="130FB08B">
            <w:pPr>
              <w:spacing w:before="40" w:after="40"/>
              <w:rPr>
                <w:rFonts w:ascii="Century Gothic" w:hAnsi="Century Gothic"/>
                <w:b/>
                <w:bCs/>
              </w:rPr>
            </w:pPr>
            <w:r w:rsidRPr="130FB08B">
              <w:rPr>
                <w:rFonts w:ascii="Century Gothic" w:hAnsi="Century Gothic"/>
                <w:b/>
                <w:bCs/>
              </w:rPr>
              <w:t>Ward</w:t>
            </w:r>
          </w:p>
        </w:tc>
        <w:tc>
          <w:tcPr>
            <w:tcW w:w="1696" w:type="dxa"/>
            <w:tcBorders>
              <w:top w:val="nil"/>
              <w:left w:val="nil"/>
              <w:bottom w:val="nil"/>
              <w:right w:val="nil"/>
              <w:tl2br w:val="nil"/>
              <w:tr2bl w:val="nil"/>
            </w:tcBorders>
            <w:shd w:val="clear" w:color="auto" w:fill="E5EEE1"/>
          </w:tcPr>
          <w:p w14:paraId="5FEC0339" w14:textId="77777777" w:rsidR="00B841F2" w:rsidRPr="00AC3AF4" w:rsidRDefault="00B841F2" w:rsidP="130FB08B">
            <w:pPr>
              <w:spacing w:before="40" w:after="40"/>
              <w:jc w:val="right"/>
              <w:rPr>
                <w:rFonts w:ascii="Century Gothic" w:hAnsi="Century Gothic"/>
                <w:b/>
                <w:bCs/>
              </w:rPr>
            </w:pPr>
            <w:r w:rsidRPr="130FB08B">
              <w:rPr>
                <w:rFonts w:ascii="Century Gothic" w:hAnsi="Century Gothic"/>
                <w:b/>
                <w:bCs/>
              </w:rPr>
              <w:t>Councillors</w:t>
            </w:r>
          </w:p>
        </w:tc>
        <w:tc>
          <w:tcPr>
            <w:tcW w:w="1697" w:type="dxa"/>
            <w:tcBorders>
              <w:top w:val="nil"/>
              <w:left w:val="nil"/>
              <w:bottom w:val="nil"/>
              <w:right w:val="nil"/>
              <w:tl2br w:val="nil"/>
              <w:tr2bl w:val="nil"/>
            </w:tcBorders>
            <w:shd w:val="clear" w:color="auto" w:fill="E5EEE1"/>
            <w:vAlign w:val="center"/>
          </w:tcPr>
          <w:p w14:paraId="7C44971E" w14:textId="77777777" w:rsidR="00B841F2" w:rsidRPr="00AC3AF4" w:rsidRDefault="00B841F2" w:rsidP="130FB08B">
            <w:pPr>
              <w:spacing w:before="40" w:after="40"/>
              <w:jc w:val="right"/>
              <w:rPr>
                <w:rFonts w:ascii="Century Gothic" w:hAnsi="Century Gothic"/>
                <w:b/>
                <w:bCs/>
              </w:rPr>
            </w:pPr>
            <w:r w:rsidRPr="130FB08B">
              <w:rPr>
                <w:rFonts w:ascii="Century Gothic" w:hAnsi="Century Gothic"/>
                <w:b/>
                <w:bCs/>
              </w:rPr>
              <w:t>Voters</w:t>
            </w:r>
          </w:p>
        </w:tc>
        <w:tc>
          <w:tcPr>
            <w:tcW w:w="1697" w:type="dxa"/>
            <w:tcBorders>
              <w:top w:val="nil"/>
              <w:left w:val="nil"/>
              <w:bottom w:val="nil"/>
              <w:right w:val="nil"/>
              <w:tl2br w:val="nil"/>
              <w:tr2bl w:val="nil"/>
            </w:tcBorders>
            <w:shd w:val="clear" w:color="auto" w:fill="E5EEE1"/>
            <w:vAlign w:val="center"/>
          </w:tcPr>
          <w:p w14:paraId="6E664BF0" w14:textId="77777777" w:rsidR="00B841F2" w:rsidRPr="00AC3AF4" w:rsidRDefault="00B841F2" w:rsidP="130FB08B">
            <w:pPr>
              <w:spacing w:before="40" w:after="40"/>
              <w:jc w:val="right"/>
              <w:rPr>
                <w:rFonts w:ascii="Century Gothic" w:hAnsi="Century Gothic"/>
                <w:b/>
                <w:bCs/>
              </w:rPr>
            </w:pPr>
            <w:r w:rsidRPr="130FB08B">
              <w:rPr>
                <w:rFonts w:ascii="Century Gothic" w:hAnsi="Century Gothic"/>
                <w:b/>
                <w:bCs/>
              </w:rPr>
              <w:t>Deviation (%)</w:t>
            </w:r>
          </w:p>
        </w:tc>
      </w:tr>
      <w:tr w:rsidR="00B841F2" w:rsidRPr="00AC3AF4" w14:paraId="5DA474C6" w14:textId="77777777" w:rsidTr="130FB08B">
        <w:trPr>
          <w:cantSplit/>
          <w:trHeight w:val="267"/>
          <w:jc w:val="center"/>
        </w:trPr>
        <w:tc>
          <w:tcPr>
            <w:tcW w:w="3583" w:type="dxa"/>
            <w:shd w:val="clear" w:color="auto" w:fill="auto"/>
            <w:vAlign w:val="center"/>
          </w:tcPr>
          <w:p w14:paraId="66260FC4" w14:textId="77777777" w:rsidR="00B841F2" w:rsidRPr="00C21E24" w:rsidRDefault="00B841F2" w:rsidP="00E458DC">
            <w:pPr>
              <w:spacing w:before="40" w:after="40"/>
              <w:rPr>
                <w:rFonts w:ascii="Century Gothic" w:hAnsi="Century Gothic"/>
              </w:rPr>
            </w:pPr>
            <w:r w:rsidRPr="130FB08B">
              <w:rPr>
                <w:rFonts w:ascii="Century Gothic" w:hAnsi="Century Gothic"/>
              </w:rPr>
              <w:t>Aitken</w:t>
            </w:r>
          </w:p>
        </w:tc>
        <w:tc>
          <w:tcPr>
            <w:tcW w:w="1696" w:type="dxa"/>
          </w:tcPr>
          <w:p w14:paraId="5D37CB70" w14:textId="0A9B322A" w:rsidR="00B841F2" w:rsidRPr="00C21E24" w:rsidRDefault="53B53598" w:rsidP="00E458DC">
            <w:pPr>
              <w:spacing w:before="40" w:after="40"/>
              <w:jc w:val="right"/>
              <w:rPr>
                <w:rFonts w:ascii="Century Gothic" w:hAnsi="Century Gothic"/>
              </w:rPr>
            </w:pPr>
            <w:r w:rsidRPr="130FB08B">
              <w:rPr>
                <w:rFonts w:ascii="Century Gothic" w:hAnsi="Century Gothic"/>
              </w:rPr>
              <w:t>4</w:t>
            </w:r>
          </w:p>
        </w:tc>
        <w:tc>
          <w:tcPr>
            <w:tcW w:w="1697" w:type="dxa"/>
            <w:shd w:val="clear" w:color="auto" w:fill="auto"/>
            <w:vAlign w:val="center"/>
          </w:tcPr>
          <w:p w14:paraId="40845D7B" w14:textId="3483B98F" w:rsidR="00B841F2" w:rsidRPr="00C21E24" w:rsidRDefault="53B53598" w:rsidP="00E458DC">
            <w:pPr>
              <w:spacing w:before="40" w:after="40"/>
              <w:jc w:val="right"/>
              <w:rPr>
                <w:rFonts w:ascii="Century Gothic" w:hAnsi="Century Gothic"/>
              </w:rPr>
            </w:pPr>
            <w:r w:rsidRPr="130FB08B">
              <w:rPr>
                <w:rFonts w:ascii="Century Gothic" w:hAnsi="Century Gothic"/>
              </w:rPr>
              <w:t>57,944</w:t>
            </w:r>
          </w:p>
        </w:tc>
        <w:tc>
          <w:tcPr>
            <w:tcW w:w="1697" w:type="dxa"/>
            <w:shd w:val="clear" w:color="auto" w:fill="auto"/>
            <w:vAlign w:val="center"/>
          </w:tcPr>
          <w:p w14:paraId="310310B3" w14:textId="0BAF62E2" w:rsidR="00B841F2" w:rsidRPr="00C21E24" w:rsidRDefault="1BECE724" w:rsidP="00E458DC">
            <w:pPr>
              <w:spacing w:before="40" w:after="40"/>
              <w:jc w:val="right"/>
              <w:rPr>
                <w:rFonts w:ascii="Century Gothic" w:hAnsi="Century Gothic"/>
              </w:rPr>
            </w:pPr>
            <w:r w:rsidRPr="130FB08B">
              <w:rPr>
                <w:rFonts w:ascii="Century Gothic" w:hAnsi="Century Gothic"/>
              </w:rPr>
              <w:t>+4.40%</w:t>
            </w:r>
          </w:p>
        </w:tc>
      </w:tr>
      <w:tr w:rsidR="00B841F2" w:rsidRPr="00AC3AF4" w14:paraId="0C165CA3" w14:textId="77777777" w:rsidTr="130FB08B">
        <w:trPr>
          <w:cantSplit/>
          <w:trHeight w:val="143"/>
          <w:jc w:val="center"/>
        </w:trPr>
        <w:tc>
          <w:tcPr>
            <w:tcW w:w="3583" w:type="dxa"/>
            <w:tcBorders>
              <w:top w:val="nil"/>
              <w:left w:val="nil"/>
              <w:bottom w:val="nil"/>
              <w:right w:val="nil"/>
              <w:tl2br w:val="nil"/>
              <w:tr2bl w:val="nil"/>
            </w:tcBorders>
            <w:shd w:val="clear" w:color="auto" w:fill="E5EEE1"/>
            <w:vAlign w:val="center"/>
          </w:tcPr>
          <w:p w14:paraId="0920B04B" w14:textId="77777777" w:rsidR="00B841F2" w:rsidRPr="00C21E24" w:rsidRDefault="00B841F2" w:rsidP="00E458DC">
            <w:pPr>
              <w:spacing w:before="40" w:after="40"/>
              <w:rPr>
                <w:rFonts w:ascii="Century Gothic" w:hAnsi="Century Gothic"/>
              </w:rPr>
            </w:pPr>
            <w:r w:rsidRPr="130FB08B">
              <w:rPr>
                <w:rFonts w:ascii="Century Gothic" w:hAnsi="Century Gothic"/>
              </w:rPr>
              <w:t>Meadow Valley</w:t>
            </w:r>
          </w:p>
        </w:tc>
        <w:tc>
          <w:tcPr>
            <w:tcW w:w="1696" w:type="dxa"/>
            <w:tcBorders>
              <w:top w:val="nil"/>
              <w:left w:val="nil"/>
              <w:bottom w:val="nil"/>
              <w:right w:val="nil"/>
              <w:tl2br w:val="nil"/>
              <w:tr2bl w:val="nil"/>
            </w:tcBorders>
            <w:shd w:val="clear" w:color="auto" w:fill="E5EEE1"/>
          </w:tcPr>
          <w:p w14:paraId="4617D0FD" w14:textId="63989422" w:rsidR="00B841F2" w:rsidRPr="00C21E24" w:rsidRDefault="53B53598" w:rsidP="00E458DC">
            <w:pPr>
              <w:spacing w:before="40" w:after="40"/>
              <w:jc w:val="right"/>
              <w:rPr>
                <w:rFonts w:ascii="Century Gothic" w:hAnsi="Century Gothic"/>
              </w:rPr>
            </w:pPr>
            <w:r w:rsidRPr="130FB08B">
              <w:rPr>
                <w:rFonts w:ascii="Century Gothic" w:hAnsi="Century Gothic"/>
              </w:rPr>
              <w:t>4</w:t>
            </w:r>
          </w:p>
        </w:tc>
        <w:tc>
          <w:tcPr>
            <w:tcW w:w="1697" w:type="dxa"/>
            <w:tcBorders>
              <w:top w:val="nil"/>
              <w:left w:val="nil"/>
              <w:bottom w:val="nil"/>
              <w:right w:val="nil"/>
              <w:tl2br w:val="nil"/>
              <w:tr2bl w:val="nil"/>
            </w:tcBorders>
            <w:shd w:val="clear" w:color="auto" w:fill="E5EEE1"/>
            <w:vAlign w:val="center"/>
          </w:tcPr>
          <w:p w14:paraId="1AB9460A" w14:textId="699C3958" w:rsidR="00B841F2" w:rsidRPr="00C21E24" w:rsidRDefault="7AE8EB05" w:rsidP="00E458DC">
            <w:pPr>
              <w:spacing w:before="40" w:after="40"/>
              <w:jc w:val="right"/>
              <w:rPr>
                <w:rFonts w:ascii="Century Gothic" w:hAnsi="Century Gothic"/>
              </w:rPr>
            </w:pPr>
            <w:r w:rsidRPr="130FB08B">
              <w:rPr>
                <w:rFonts w:ascii="Century Gothic" w:hAnsi="Century Gothic"/>
              </w:rPr>
              <w:t>55,381</w:t>
            </w:r>
          </w:p>
        </w:tc>
        <w:tc>
          <w:tcPr>
            <w:tcW w:w="1697" w:type="dxa"/>
            <w:tcBorders>
              <w:top w:val="nil"/>
              <w:left w:val="nil"/>
              <w:bottom w:val="nil"/>
              <w:right w:val="nil"/>
              <w:tl2br w:val="nil"/>
              <w:tr2bl w:val="nil"/>
            </w:tcBorders>
            <w:shd w:val="clear" w:color="auto" w:fill="E5EEE1"/>
            <w:vAlign w:val="center"/>
          </w:tcPr>
          <w:p w14:paraId="50C0B616" w14:textId="7FB5B519" w:rsidR="00B841F2" w:rsidRPr="00C21E24" w:rsidRDefault="139E65B3" w:rsidP="00E458DC">
            <w:pPr>
              <w:spacing w:before="40" w:after="40"/>
              <w:jc w:val="right"/>
              <w:rPr>
                <w:rFonts w:ascii="Century Gothic" w:hAnsi="Century Gothic"/>
              </w:rPr>
            </w:pPr>
            <w:r w:rsidRPr="130FB08B">
              <w:rPr>
                <w:rFonts w:ascii="Century Gothic" w:hAnsi="Century Gothic"/>
              </w:rPr>
              <w:t>-0.22%</w:t>
            </w:r>
          </w:p>
        </w:tc>
      </w:tr>
      <w:tr w:rsidR="00B841F2" w:rsidRPr="00AC3AF4" w14:paraId="33C7AF3B" w14:textId="77777777" w:rsidTr="130FB08B">
        <w:trPr>
          <w:cantSplit/>
          <w:trHeight w:val="80"/>
          <w:jc w:val="center"/>
        </w:trPr>
        <w:tc>
          <w:tcPr>
            <w:tcW w:w="3583" w:type="dxa"/>
            <w:shd w:val="clear" w:color="auto" w:fill="auto"/>
            <w:vAlign w:val="center"/>
          </w:tcPr>
          <w:p w14:paraId="50EC893E" w14:textId="77777777" w:rsidR="00B841F2" w:rsidRPr="00C21E24" w:rsidRDefault="00B841F2" w:rsidP="00E458DC">
            <w:pPr>
              <w:spacing w:before="40" w:after="40"/>
              <w:rPr>
                <w:rFonts w:ascii="Century Gothic" w:hAnsi="Century Gothic"/>
              </w:rPr>
            </w:pPr>
            <w:r w:rsidRPr="130FB08B">
              <w:rPr>
                <w:rFonts w:ascii="Century Gothic" w:hAnsi="Century Gothic"/>
              </w:rPr>
              <w:t>Jacksons Creek</w:t>
            </w:r>
          </w:p>
        </w:tc>
        <w:tc>
          <w:tcPr>
            <w:tcW w:w="1696" w:type="dxa"/>
          </w:tcPr>
          <w:p w14:paraId="1D59F9ED" w14:textId="72F61341" w:rsidR="00B841F2" w:rsidRPr="00C21E24" w:rsidRDefault="04657612" w:rsidP="00E458DC">
            <w:pPr>
              <w:spacing w:before="40" w:after="40"/>
              <w:jc w:val="right"/>
              <w:rPr>
                <w:rFonts w:ascii="Century Gothic" w:hAnsi="Century Gothic"/>
              </w:rPr>
            </w:pPr>
            <w:r w:rsidRPr="130FB08B">
              <w:rPr>
                <w:rFonts w:ascii="Century Gothic" w:hAnsi="Century Gothic"/>
              </w:rPr>
              <w:t>3</w:t>
            </w:r>
          </w:p>
        </w:tc>
        <w:tc>
          <w:tcPr>
            <w:tcW w:w="1697" w:type="dxa"/>
            <w:shd w:val="clear" w:color="auto" w:fill="auto"/>
            <w:vAlign w:val="center"/>
          </w:tcPr>
          <w:p w14:paraId="1FD5A9E1" w14:textId="0B1265DA" w:rsidR="00B841F2" w:rsidRPr="00C21E24" w:rsidRDefault="5245B16D" w:rsidP="00E458DC">
            <w:pPr>
              <w:spacing w:before="40" w:after="40"/>
              <w:jc w:val="right"/>
              <w:rPr>
                <w:rFonts w:ascii="Century Gothic" w:hAnsi="Century Gothic"/>
              </w:rPr>
            </w:pPr>
            <w:r w:rsidRPr="130FB08B">
              <w:rPr>
                <w:rFonts w:ascii="Century Gothic" w:hAnsi="Century Gothic"/>
              </w:rPr>
              <w:t>39,304</w:t>
            </w:r>
          </w:p>
        </w:tc>
        <w:tc>
          <w:tcPr>
            <w:tcW w:w="1697" w:type="dxa"/>
            <w:shd w:val="clear" w:color="auto" w:fill="auto"/>
            <w:vAlign w:val="center"/>
          </w:tcPr>
          <w:p w14:paraId="62E2D9BA" w14:textId="39F668BE" w:rsidR="00B841F2" w:rsidRPr="00C21E24" w:rsidRDefault="106B2FD0" w:rsidP="00E458DC">
            <w:pPr>
              <w:spacing w:before="40" w:after="40"/>
              <w:jc w:val="right"/>
              <w:rPr>
                <w:rFonts w:ascii="Century Gothic" w:hAnsi="Century Gothic"/>
              </w:rPr>
            </w:pPr>
            <w:r w:rsidRPr="130FB08B">
              <w:rPr>
                <w:rFonts w:ascii="Century Gothic" w:hAnsi="Century Gothic"/>
              </w:rPr>
              <w:t>-5.58%</w:t>
            </w:r>
          </w:p>
        </w:tc>
      </w:tr>
      <w:tr w:rsidR="00B841F2" w:rsidRPr="00AC3AF4" w14:paraId="2D04613C" w14:textId="77777777" w:rsidTr="130FB08B">
        <w:trPr>
          <w:cantSplit/>
          <w:trHeight w:val="102"/>
          <w:jc w:val="center"/>
        </w:trPr>
        <w:tc>
          <w:tcPr>
            <w:tcW w:w="3583" w:type="dxa"/>
            <w:shd w:val="clear" w:color="auto" w:fill="E5EEE1"/>
            <w:vAlign w:val="center"/>
          </w:tcPr>
          <w:p w14:paraId="0E9A2B2D" w14:textId="77777777" w:rsidR="00B841F2" w:rsidRPr="00C21E24" w:rsidRDefault="00B841F2" w:rsidP="130FB08B">
            <w:pPr>
              <w:spacing w:before="40" w:after="40"/>
              <w:rPr>
                <w:rFonts w:ascii="Century Gothic" w:hAnsi="Century Gothic"/>
                <w:b/>
                <w:bCs/>
              </w:rPr>
            </w:pPr>
            <w:r w:rsidRPr="130FB08B">
              <w:rPr>
                <w:rFonts w:ascii="Century Gothic" w:hAnsi="Century Gothic"/>
                <w:b/>
                <w:bCs/>
              </w:rPr>
              <w:t>Total for council</w:t>
            </w:r>
          </w:p>
        </w:tc>
        <w:tc>
          <w:tcPr>
            <w:tcW w:w="1696" w:type="dxa"/>
            <w:shd w:val="clear" w:color="auto" w:fill="E5EEE1"/>
          </w:tcPr>
          <w:p w14:paraId="4B770E6D" w14:textId="77777777" w:rsidR="00B841F2" w:rsidRPr="00C21E24" w:rsidRDefault="00B841F2" w:rsidP="130FB08B">
            <w:pPr>
              <w:spacing w:before="40" w:after="40"/>
              <w:jc w:val="right"/>
              <w:rPr>
                <w:rFonts w:ascii="Century Gothic" w:hAnsi="Century Gothic"/>
                <w:b/>
                <w:bCs/>
              </w:rPr>
            </w:pPr>
            <w:r w:rsidRPr="130FB08B">
              <w:rPr>
                <w:rFonts w:ascii="Century Gothic" w:hAnsi="Century Gothic"/>
                <w:b/>
                <w:bCs/>
              </w:rPr>
              <w:t>11</w:t>
            </w:r>
          </w:p>
        </w:tc>
        <w:tc>
          <w:tcPr>
            <w:tcW w:w="1697" w:type="dxa"/>
            <w:shd w:val="clear" w:color="auto" w:fill="E5EEE1"/>
            <w:vAlign w:val="center"/>
          </w:tcPr>
          <w:p w14:paraId="31714477" w14:textId="77777777" w:rsidR="00B841F2" w:rsidRPr="00C21E24" w:rsidRDefault="00B841F2" w:rsidP="130FB08B">
            <w:pPr>
              <w:spacing w:before="40" w:after="40"/>
              <w:jc w:val="right"/>
              <w:rPr>
                <w:rFonts w:ascii="Century Gothic" w:hAnsi="Century Gothic"/>
                <w:b/>
                <w:bCs/>
              </w:rPr>
            </w:pPr>
            <w:r w:rsidRPr="130FB08B">
              <w:rPr>
                <w:rFonts w:ascii="Century Gothic" w:hAnsi="Century Gothic"/>
                <w:b/>
                <w:bCs/>
              </w:rPr>
              <w:t>152,629</w:t>
            </w:r>
          </w:p>
        </w:tc>
        <w:tc>
          <w:tcPr>
            <w:tcW w:w="1697" w:type="dxa"/>
            <w:shd w:val="clear" w:color="auto" w:fill="E5EEE1"/>
            <w:vAlign w:val="center"/>
          </w:tcPr>
          <w:p w14:paraId="615C4D0A" w14:textId="77777777" w:rsidR="00B841F2" w:rsidRPr="00C21E24" w:rsidRDefault="00B841F2" w:rsidP="00E458DC">
            <w:pPr>
              <w:spacing w:before="40" w:after="40"/>
              <w:jc w:val="right"/>
              <w:rPr>
                <w:rFonts w:ascii="Century Gothic" w:hAnsi="Century Gothic"/>
              </w:rPr>
            </w:pPr>
          </w:p>
        </w:tc>
      </w:tr>
    </w:tbl>
    <w:p w14:paraId="1C130427" w14:textId="77777777" w:rsidR="001E1710" w:rsidRDefault="001E1710" w:rsidP="001E1710">
      <w:pPr>
        <w:pStyle w:val="BodyText"/>
      </w:pPr>
      <w:r>
        <w:t xml:space="preserve"> </w:t>
      </w:r>
    </w:p>
    <w:p w14:paraId="20931F57" w14:textId="77777777" w:rsidR="00577CC0" w:rsidRDefault="00577CC0">
      <w:pPr>
        <w:rPr>
          <w:rFonts w:ascii="Century Gothic" w:eastAsia="Times New Roman" w:hAnsi="Century Gothic" w:cs="Times New Roman"/>
          <w:b/>
          <w:bCs/>
          <w:color w:val="00553D"/>
          <w:sz w:val="26"/>
          <w:szCs w:val="26"/>
        </w:rPr>
      </w:pPr>
      <w:r>
        <w:br w:type="page"/>
      </w:r>
    </w:p>
    <w:p w14:paraId="472617E9" w14:textId="77777777" w:rsidR="007E7FE1" w:rsidRPr="00AC5FFA" w:rsidRDefault="007E7FE1" w:rsidP="00C87BD4">
      <w:pPr>
        <w:pStyle w:val="Heading2numbered"/>
      </w:pPr>
      <w:bookmarkStart w:id="19" w:name="_Toc37332250"/>
      <w:r w:rsidRPr="00AC5FFA">
        <w:lastRenderedPageBreak/>
        <w:t>The VEC’s recommendation</w:t>
      </w:r>
      <w:bookmarkEnd w:id="19"/>
    </w:p>
    <w:p w14:paraId="1B700E2D" w14:textId="77777777" w:rsidR="007E7FE1" w:rsidRPr="00AC5FFA" w:rsidRDefault="007E7FE1" w:rsidP="00FE17EB">
      <w:pPr>
        <w:pStyle w:val="BodyText"/>
      </w:pPr>
      <w:r w:rsidRPr="00AC5FFA">
        <w:t xml:space="preserve">The Victorian Electoral Commission recommends adjustments to the boundaries </w:t>
      </w:r>
      <w:r w:rsidR="00EF541C">
        <w:t>of all wards</w:t>
      </w:r>
      <w:r w:rsidRPr="00AC5FFA">
        <w:t xml:space="preserve"> </w:t>
      </w:r>
      <w:r w:rsidRPr="00143A43">
        <w:t xml:space="preserve">within </w:t>
      </w:r>
      <w:r w:rsidRPr="00143A43">
        <w:rPr>
          <w:noProof/>
        </w:rPr>
        <w:t>Hume City Council</w:t>
      </w:r>
      <w:r w:rsidRPr="00143A43">
        <w:t>:</w:t>
      </w:r>
    </w:p>
    <w:p w14:paraId="34DCA798" w14:textId="77777777" w:rsidR="007E7FE1" w:rsidRPr="00AC5FFA" w:rsidRDefault="00EF541C" w:rsidP="008757E5">
      <w:pPr>
        <w:pStyle w:val="BodyText"/>
        <w:numPr>
          <w:ilvl w:val="0"/>
          <w:numId w:val="6"/>
        </w:numPr>
      </w:pPr>
      <w:r>
        <w:t>Aitken Ward</w:t>
      </w:r>
    </w:p>
    <w:p w14:paraId="1016447E" w14:textId="77777777" w:rsidR="007E7FE1" w:rsidRDefault="00EF541C" w:rsidP="008757E5">
      <w:pPr>
        <w:pStyle w:val="BodyText"/>
        <w:numPr>
          <w:ilvl w:val="0"/>
          <w:numId w:val="6"/>
        </w:numPr>
      </w:pPr>
      <w:r>
        <w:t>Jacksons Creek Ward</w:t>
      </w:r>
    </w:p>
    <w:p w14:paraId="414E5A2F" w14:textId="77777777" w:rsidR="00EF541C" w:rsidRPr="00AC5FFA" w:rsidRDefault="00EF541C" w:rsidP="008757E5">
      <w:pPr>
        <w:pStyle w:val="BodyText"/>
        <w:numPr>
          <w:ilvl w:val="0"/>
          <w:numId w:val="6"/>
        </w:numPr>
      </w:pPr>
      <w:r>
        <w:t>Meadow Valley Ward</w:t>
      </w:r>
    </w:p>
    <w:p w14:paraId="75E690B1" w14:textId="77777777" w:rsidR="007E7FE1" w:rsidRPr="00AC5FFA" w:rsidRDefault="007E7FE1" w:rsidP="00FE17EB">
      <w:pPr>
        <w:pStyle w:val="BodyText"/>
      </w:pPr>
      <w:r w:rsidRPr="00AC5FFA">
        <w:t xml:space="preserve">This recommendation is submitted to the Minister for Local Government as required by the </w:t>
      </w:r>
      <w:r w:rsidRPr="00AC5FFA">
        <w:rPr>
          <w:i/>
        </w:rPr>
        <w:t>Local Government Act 1989</w:t>
      </w:r>
      <w:r w:rsidRPr="00AC5FFA">
        <w:t>.</w:t>
      </w:r>
    </w:p>
    <w:p w14:paraId="2949CB6A" w14:textId="77777777" w:rsidR="007E7FE1" w:rsidRPr="00AC5FFA" w:rsidRDefault="007E7FE1" w:rsidP="00FE17EB">
      <w:pPr>
        <w:pStyle w:val="BodyText"/>
      </w:pPr>
      <w:r w:rsidRPr="00AC5FFA">
        <w:t xml:space="preserve">Please see Appendix 2 for a </w:t>
      </w:r>
      <w:r w:rsidRPr="00EC0B09">
        <w:t>detailed</w:t>
      </w:r>
      <w:r w:rsidRPr="00AC5FFA">
        <w:t xml:space="preserve"> map of the recommended ward boundaries.</w:t>
      </w:r>
    </w:p>
    <w:p w14:paraId="0F0D77C1" w14:textId="77777777" w:rsidR="007E7FE1" w:rsidRPr="00AC5FFA" w:rsidRDefault="007E7FE1" w:rsidP="00F5118B">
      <w:pPr>
        <w:pStyle w:val="Heading1"/>
        <w:rPr>
          <w:rFonts w:ascii="Century Gothic" w:hAnsi="Century Gothic"/>
        </w:rPr>
      </w:pPr>
      <w:r w:rsidRPr="00AC5FFA">
        <w:rPr>
          <w:rFonts w:ascii="Century Gothic" w:hAnsi="Century Gothic"/>
        </w:rPr>
        <w:br w:type="page"/>
      </w:r>
      <w:bookmarkStart w:id="20" w:name="_Toc37332251"/>
      <w:r w:rsidRPr="00AC5FFA">
        <w:rPr>
          <w:rFonts w:ascii="Century Gothic" w:hAnsi="Century Gothic"/>
        </w:rPr>
        <w:lastRenderedPageBreak/>
        <w:t>Appendix 1: Public involvement</w:t>
      </w:r>
      <w:bookmarkEnd w:id="20"/>
    </w:p>
    <w:p w14:paraId="12B7DD37" w14:textId="77777777" w:rsidR="007E7FE1" w:rsidRPr="00AC5FFA" w:rsidRDefault="007E7FE1" w:rsidP="00164847">
      <w:pPr>
        <w:pStyle w:val="Heading2noTOC"/>
      </w:pPr>
      <w:r w:rsidRPr="00AC5FFA">
        <w:t>Response submissions</w:t>
      </w:r>
    </w:p>
    <w:p w14:paraId="32AE4001" w14:textId="77777777" w:rsidR="007E7FE1" w:rsidRPr="00AC5FFA" w:rsidRDefault="007E7FE1" w:rsidP="00D16B01">
      <w:pPr>
        <w:pStyle w:val="BodyText"/>
      </w:pPr>
      <w:r w:rsidRPr="00AC5FFA">
        <w:t>Response submissions were made by:</w:t>
      </w:r>
    </w:p>
    <w:p w14:paraId="61DA229B" w14:textId="77777777" w:rsidR="007E7FE1" w:rsidRPr="00AC5FFA" w:rsidRDefault="007B6E0D" w:rsidP="00BC18C0">
      <w:pPr>
        <w:pStyle w:val="BodyText"/>
        <w:ind w:left="720"/>
      </w:pPr>
      <w:r>
        <w:t>Brogan</w:t>
      </w:r>
      <w:r w:rsidR="007E7FE1" w:rsidRPr="00AC5FFA">
        <w:t xml:space="preserve">, </w:t>
      </w:r>
      <w:r>
        <w:t>Elaine</w:t>
      </w:r>
    </w:p>
    <w:p w14:paraId="086E6FA6" w14:textId="77777777" w:rsidR="007E7FE1" w:rsidRDefault="007B6E0D" w:rsidP="00BC18C0">
      <w:pPr>
        <w:pStyle w:val="BodyText"/>
        <w:ind w:left="720"/>
      </w:pPr>
      <w:r>
        <w:t>Greenvale Residents Association Inc.</w:t>
      </w:r>
    </w:p>
    <w:p w14:paraId="0FBDF6E5" w14:textId="1B3A02C2" w:rsidR="007B6E0D" w:rsidRDefault="007B6E0D" w:rsidP="00BC18C0">
      <w:pPr>
        <w:pStyle w:val="BodyText"/>
        <w:ind w:left="720"/>
      </w:pPr>
      <w:r>
        <w:t>Jessop, Andrew (C</w:t>
      </w:r>
      <w:r w:rsidR="005927DA">
        <w:t>ouncillo</w:t>
      </w:r>
      <w:r>
        <w:t>r)</w:t>
      </w:r>
    </w:p>
    <w:p w14:paraId="05B55C87" w14:textId="1C77F2F6" w:rsidR="007B6E0D" w:rsidRPr="00AC5FFA" w:rsidRDefault="007B6E0D" w:rsidP="00BC18C0">
      <w:pPr>
        <w:pStyle w:val="BodyText"/>
        <w:ind w:left="720"/>
      </w:pPr>
      <w:r>
        <w:t xml:space="preserve">Kurt, </w:t>
      </w:r>
      <w:proofErr w:type="spellStart"/>
      <w:r>
        <w:t>Naim</w:t>
      </w:r>
      <w:proofErr w:type="spellEnd"/>
      <w:r>
        <w:t xml:space="preserve"> (C</w:t>
      </w:r>
      <w:r w:rsidR="005927DA">
        <w:t>ouncillor</w:t>
      </w:r>
      <w:r>
        <w:t>)</w:t>
      </w:r>
    </w:p>
    <w:p w14:paraId="19AB5666" w14:textId="77777777" w:rsidR="007E7FE1" w:rsidRPr="00AC5FFA" w:rsidRDefault="007E7FE1" w:rsidP="00164847">
      <w:pPr>
        <w:pStyle w:val="Heading2noTOC"/>
      </w:pPr>
      <w:r w:rsidRPr="00AC5FFA">
        <w:t>Public hearing</w:t>
      </w:r>
    </w:p>
    <w:p w14:paraId="5D1E591A" w14:textId="77777777" w:rsidR="007E7FE1" w:rsidRPr="00AC5FFA" w:rsidRDefault="007E7FE1" w:rsidP="00D16B01">
      <w:pPr>
        <w:pStyle w:val="BodyText"/>
      </w:pPr>
      <w:r w:rsidRPr="00AC5FFA">
        <w:t>The following individuals spoke at the public hearing:</w:t>
      </w:r>
    </w:p>
    <w:p w14:paraId="704D104F" w14:textId="77777777" w:rsidR="007E7FE1" w:rsidRDefault="007B6E0D" w:rsidP="0085685D">
      <w:pPr>
        <w:pStyle w:val="BodyText"/>
        <w:ind w:left="720"/>
      </w:pPr>
      <w:proofErr w:type="spellStart"/>
      <w:r>
        <w:t>Grech</w:t>
      </w:r>
      <w:proofErr w:type="spellEnd"/>
      <w:r w:rsidR="007E7FE1" w:rsidRPr="00AC5FFA">
        <w:t>,</w:t>
      </w:r>
      <w:r>
        <w:t xml:space="preserve"> Charl</w:t>
      </w:r>
      <w:r w:rsidR="00985AB6">
        <w:t>ie</w:t>
      </w:r>
      <w:r w:rsidR="007E7FE1" w:rsidRPr="00AC5FFA">
        <w:t xml:space="preserve"> for </w:t>
      </w:r>
      <w:r>
        <w:t>Greenvale Residents Association Inc.</w:t>
      </w:r>
    </w:p>
    <w:p w14:paraId="5777AD0B" w14:textId="34651ADF" w:rsidR="007B6E0D" w:rsidRPr="00AC5FFA" w:rsidRDefault="007B6E0D" w:rsidP="0085685D">
      <w:pPr>
        <w:pStyle w:val="BodyText"/>
        <w:ind w:left="720"/>
      </w:pPr>
      <w:r>
        <w:t xml:space="preserve">Kurt, </w:t>
      </w:r>
      <w:proofErr w:type="spellStart"/>
      <w:r>
        <w:t>Naim</w:t>
      </w:r>
      <w:proofErr w:type="spellEnd"/>
      <w:r>
        <w:t xml:space="preserve"> (C</w:t>
      </w:r>
      <w:r w:rsidR="005927DA">
        <w:t>ouncillo</w:t>
      </w:r>
      <w:r>
        <w:t>r)</w:t>
      </w:r>
    </w:p>
    <w:p w14:paraId="25367310" w14:textId="77777777" w:rsidR="007E7FE1" w:rsidRPr="00AC5FFA" w:rsidRDefault="007E7FE1" w:rsidP="00540F3B">
      <w:pPr>
        <w:pStyle w:val="BodyText"/>
      </w:pPr>
    </w:p>
    <w:p w14:paraId="34E8EE27" w14:textId="77777777" w:rsidR="007E7FE1" w:rsidRPr="00AC5FFA" w:rsidRDefault="007E7FE1" w:rsidP="00710029">
      <w:pPr>
        <w:pStyle w:val="Heading1"/>
        <w:rPr>
          <w:rFonts w:ascii="Century Gothic" w:hAnsi="Century Gothic"/>
        </w:rPr>
      </w:pPr>
      <w:r w:rsidRPr="00AC5FFA">
        <w:rPr>
          <w:rFonts w:ascii="Century Gothic" w:hAnsi="Century Gothic"/>
        </w:rPr>
        <w:br w:type="page"/>
      </w:r>
      <w:bookmarkStart w:id="21" w:name="_Toc37332252"/>
      <w:r w:rsidRPr="00AC5FFA">
        <w:rPr>
          <w:rFonts w:ascii="Century Gothic" w:hAnsi="Century Gothic"/>
        </w:rPr>
        <w:lastRenderedPageBreak/>
        <w:t xml:space="preserve">Appendix 2: </w:t>
      </w:r>
      <w:r>
        <w:rPr>
          <w:rFonts w:ascii="Century Gothic" w:hAnsi="Century Gothic"/>
        </w:rPr>
        <w:t>Recommended ward boundaries m</w:t>
      </w:r>
      <w:r w:rsidRPr="00AC5FFA">
        <w:rPr>
          <w:rFonts w:ascii="Century Gothic" w:hAnsi="Century Gothic"/>
        </w:rPr>
        <w:t>ap</w:t>
      </w:r>
      <w:bookmarkEnd w:id="21"/>
    </w:p>
    <w:p w14:paraId="670510A1" w14:textId="77777777" w:rsidR="007E7FE1" w:rsidRDefault="007E7FE1" w:rsidP="00FD162F">
      <w:pPr>
        <w:pStyle w:val="BodyText"/>
      </w:pPr>
    </w:p>
    <w:p w14:paraId="485BCEBF" w14:textId="77777777" w:rsidR="007E7FE1" w:rsidRDefault="007E7FE1" w:rsidP="00FD162F">
      <w:pPr>
        <w:pStyle w:val="BodyText"/>
      </w:pPr>
    </w:p>
    <w:p w14:paraId="05176290" w14:textId="77777777" w:rsidR="007E7FE1" w:rsidRDefault="007E7FE1" w:rsidP="00FD162F">
      <w:pPr>
        <w:pStyle w:val="BodyText"/>
      </w:pPr>
    </w:p>
    <w:p w14:paraId="6D2CD460" w14:textId="77777777" w:rsidR="007E7FE1" w:rsidRDefault="007E7FE1" w:rsidP="00FD162F">
      <w:pPr>
        <w:pStyle w:val="BodyText"/>
      </w:pPr>
    </w:p>
    <w:p w14:paraId="6BDC4B34" w14:textId="77777777" w:rsidR="007E7FE1" w:rsidRDefault="007E7FE1" w:rsidP="00FD162F">
      <w:pPr>
        <w:pStyle w:val="BodyText"/>
      </w:pPr>
    </w:p>
    <w:p w14:paraId="7D3DEC1E" w14:textId="77777777" w:rsidR="007E7FE1" w:rsidRDefault="007E7FE1" w:rsidP="00FD162F">
      <w:pPr>
        <w:pStyle w:val="BodyText"/>
      </w:pPr>
    </w:p>
    <w:p w14:paraId="4B984032" w14:textId="77777777" w:rsidR="007E7FE1" w:rsidRDefault="007E7FE1" w:rsidP="00FD162F">
      <w:pPr>
        <w:pStyle w:val="BodyText"/>
      </w:pPr>
    </w:p>
    <w:p w14:paraId="2AE39D66" w14:textId="77777777" w:rsidR="007E7FE1" w:rsidRDefault="007E7FE1" w:rsidP="00FD162F">
      <w:pPr>
        <w:pStyle w:val="BodyText"/>
      </w:pPr>
    </w:p>
    <w:p w14:paraId="791A26B8" w14:textId="77777777" w:rsidR="007E7FE1" w:rsidRDefault="007E7FE1" w:rsidP="00FD162F">
      <w:pPr>
        <w:pStyle w:val="BodyText"/>
      </w:pPr>
    </w:p>
    <w:p w14:paraId="7B4C6AC9" w14:textId="77777777" w:rsidR="007E7FE1" w:rsidRDefault="007E7FE1" w:rsidP="00FD162F">
      <w:pPr>
        <w:pStyle w:val="BodyText"/>
      </w:pPr>
    </w:p>
    <w:p w14:paraId="3DA98A4B" w14:textId="77777777" w:rsidR="007E7FE1" w:rsidRDefault="007E7FE1" w:rsidP="00FD162F">
      <w:pPr>
        <w:pStyle w:val="BodyText"/>
        <w:jc w:val="center"/>
      </w:pPr>
      <w:r>
        <w:t>The map is provided on the next page.</w:t>
      </w:r>
    </w:p>
    <w:p w14:paraId="2C2B4107" w14:textId="77777777" w:rsidR="007E7FE1" w:rsidRDefault="007E7FE1" w:rsidP="00FD162F">
      <w:r>
        <w:br w:type="page"/>
      </w:r>
    </w:p>
    <w:p w14:paraId="126A84F5" w14:textId="51DC8F23" w:rsidR="007E7FE1" w:rsidRDefault="00347AF9">
      <w:r>
        <w:rPr>
          <w:noProof/>
        </w:rPr>
        <w:lastRenderedPageBreak/>
        <w:drawing>
          <wp:anchor distT="0" distB="0" distL="114300" distR="114300" simplePos="0" relativeHeight="251666432" behindDoc="0" locked="0" layoutInCell="1" allowOverlap="1" wp14:anchorId="77489279" wp14:editId="12D907EF">
            <wp:simplePos x="0" y="0"/>
            <wp:positionH relativeFrom="column">
              <wp:posOffset>-2113681</wp:posOffset>
            </wp:positionH>
            <wp:positionV relativeFrom="paragraph">
              <wp:posOffset>560719</wp:posOffset>
            </wp:positionV>
            <wp:extent cx="10004697" cy="7098171"/>
            <wp:effectExtent l="5398" t="0" r="2222" b="2223"/>
            <wp:wrapNone/>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me - Recommended Boundary Map.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0004697" cy="7098171"/>
                    </a:xfrm>
                    <a:prstGeom prst="rect">
                      <a:avLst/>
                    </a:prstGeom>
                  </pic:spPr>
                </pic:pic>
              </a:graphicData>
            </a:graphic>
            <wp14:sizeRelH relativeFrom="page">
              <wp14:pctWidth>0</wp14:pctWidth>
            </wp14:sizeRelH>
            <wp14:sizeRelV relativeFrom="page">
              <wp14:pctHeight>0</wp14:pctHeight>
            </wp14:sizeRelV>
          </wp:anchor>
        </w:drawing>
      </w:r>
      <w:r w:rsidR="007E7FE1">
        <w:br w:type="page"/>
      </w:r>
    </w:p>
    <w:p w14:paraId="1B7B758F" w14:textId="77777777" w:rsidR="007E7FE1" w:rsidRPr="00AC5FFA" w:rsidRDefault="007E7FE1" w:rsidP="009C7802">
      <w:pPr>
        <w:pStyle w:val="Heading1"/>
        <w:rPr>
          <w:rFonts w:ascii="Century Gothic" w:hAnsi="Century Gothic"/>
        </w:rPr>
      </w:pPr>
      <w:bookmarkStart w:id="22" w:name="_Toc37332253"/>
      <w:r w:rsidRPr="00AC5FFA">
        <w:rPr>
          <w:rFonts w:ascii="Century Gothic" w:hAnsi="Century Gothic"/>
        </w:rPr>
        <w:lastRenderedPageBreak/>
        <w:t>Appendix 3: Public information program</w:t>
      </w:r>
      <w:bookmarkEnd w:id="22"/>
    </w:p>
    <w:p w14:paraId="6A59BE85" w14:textId="77777777" w:rsidR="007E7FE1" w:rsidRPr="00AC5FFA" w:rsidRDefault="007E7FE1" w:rsidP="00C31A51">
      <w:pPr>
        <w:pStyle w:val="Heading2noTOC"/>
      </w:pPr>
      <w:r w:rsidRPr="00AC5FFA">
        <w:t>Advertising</w:t>
      </w:r>
    </w:p>
    <w:p w14:paraId="0FEEF0C7" w14:textId="77777777" w:rsidR="007E7FE1" w:rsidRPr="00AC5FFA" w:rsidRDefault="007E7FE1" w:rsidP="00C31A51">
      <w:pPr>
        <w:pStyle w:val="BodyText"/>
      </w:pPr>
      <w:r>
        <w:t>P</w:t>
      </w:r>
      <w:r w:rsidRPr="00AC5FFA">
        <w:t>ublic notices of the release of the preliminary report were placed in the following newspapers:</w:t>
      </w:r>
    </w:p>
    <w:tbl>
      <w:tblPr>
        <w:tblW w:w="5000" w:type="pct"/>
        <w:tblBorders>
          <w:bottom w:val="single" w:sz="4" w:space="0" w:color="auto"/>
        </w:tblBorders>
        <w:tblLook w:val="04A0" w:firstRow="1" w:lastRow="0" w:firstColumn="1" w:lastColumn="0" w:noHBand="0" w:noVBand="1"/>
      </w:tblPr>
      <w:tblGrid>
        <w:gridCol w:w="4722"/>
        <w:gridCol w:w="4723"/>
      </w:tblGrid>
      <w:tr w:rsidR="007E7FE1" w:rsidRPr="00AC5FFA" w14:paraId="7597400E" w14:textId="77777777" w:rsidTr="00497077">
        <w:trPr>
          <w:cantSplit/>
          <w:trHeight w:val="80"/>
        </w:trPr>
        <w:tc>
          <w:tcPr>
            <w:tcW w:w="2500" w:type="pct"/>
            <w:tcBorders>
              <w:top w:val="single" w:sz="4" w:space="0" w:color="auto"/>
              <w:left w:val="nil"/>
              <w:bottom w:val="single" w:sz="4" w:space="0" w:color="auto"/>
              <w:right w:val="nil"/>
              <w:tl2br w:val="nil"/>
              <w:tr2bl w:val="nil"/>
            </w:tcBorders>
            <w:shd w:val="clear" w:color="auto" w:fill="E5EEE1"/>
            <w:vAlign w:val="center"/>
          </w:tcPr>
          <w:p w14:paraId="5C97AA74" w14:textId="77777777" w:rsidR="007E7FE1" w:rsidRPr="00AC5FFA" w:rsidRDefault="007E7FE1" w:rsidP="00F26E1C">
            <w:pPr>
              <w:spacing w:before="60" w:after="60"/>
              <w:rPr>
                <w:rFonts w:ascii="Century Gothic" w:hAnsi="Century Gothic"/>
                <w:b/>
              </w:rPr>
            </w:pPr>
            <w:r w:rsidRPr="00AC5FFA">
              <w:rPr>
                <w:rFonts w:ascii="Century Gothic" w:hAnsi="Century Gothic"/>
                <w:b/>
              </w:rPr>
              <w:t>Newspaper</w:t>
            </w:r>
          </w:p>
        </w:tc>
        <w:tc>
          <w:tcPr>
            <w:tcW w:w="2500" w:type="pct"/>
            <w:tcBorders>
              <w:top w:val="single" w:sz="4" w:space="0" w:color="auto"/>
              <w:left w:val="nil"/>
              <w:bottom w:val="single" w:sz="4" w:space="0" w:color="auto"/>
              <w:right w:val="nil"/>
              <w:tl2br w:val="nil"/>
              <w:tr2bl w:val="nil"/>
            </w:tcBorders>
            <w:shd w:val="clear" w:color="auto" w:fill="E5EEE1"/>
            <w:vAlign w:val="center"/>
          </w:tcPr>
          <w:p w14:paraId="41730BC4" w14:textId="77777777" w:rsidR="007E7FE1" w:rsidRPr="00AC5FFA" w:rsidRDefault="007E7FE1" w:rsidP="00F26E1C">
            <w:pPr>
              <w:spacing w:before="60" w:after="60"/>
              <w:rPr>
                <w:rFonts w:ascii="Century Gothic" w:hAnsi="Century Gothic"/>
                <w:b/>
              </w:rPr>
            </w:pPr>
            <w:r>
              <w:rPr>
                <w:rFonts w:ascii="Century Gothic" w:hAnsi="Century Gothic"/>
                <w:b/>
              </w:rPr>
              <w:t>Date of publication</w:t>
            </w:r>
          </w:p>
        </w:tc>
      </w:tr>
      <w:tr w:rsidR="007E7FE1" w:rsidRPr="00AC5FFA" w14:paraId="5BE35161" w14:textId="77777777" w:rsidTr="00497077">
        <w:trPr>
          <w:cantSplit/>
          <w:trHeight w:val="80"/>
        </w:trPr>
        <w:tc>
          <w:tcPr>
            <w:tcW w:w="2500" w:type="pct"/>
            <w:tcBorders>
              <w:top w:val="single" w:sz="4" w:space="0" w:color="auto"/>
              <w:bottom w:val="nil"/>
            </w:tcBorders>
            <w:shd w:val="clear" w:color="auto" w:fill="auto"/>
            <w:vAlign w:val="center"/>
          </w:tcPr>
          <w:p w14:paraId="468161D4" w14:textId="0964A275" w:rsidR="007E7FE1" w:rsidRPr="00AC5FFA" w:rsidRDefault="00BC63F3" w:rsidP="00FE17EB">
            <w:pPr>
              <w:spacing w:before="60" w:after="60"/>
              <w:rPr>
                <w:rFonts w:ascii="Century Gothic" w:hAnsi="Century Gothic"/>
                <w:i/>
              </w:rPr>
            </w:pPr>
            <w:r>
              <w:rPr>
                <w:rFonts w:ascii="Century Gothic" w:hAnsi="Century Gothic"/>
                <w:i/>
              </w:rPr>
              <w:t>Hume Leader</w:t>
            </w:r>
          </w:p>
        </w:tc>
        <w:tc>
          <w:tcPr>
            <w:tcW w:w="2500" w:type="pct"/>
            <w:tcBorders>
              <w:top w:val="single" w:sz="4" w:space="0" w:color="auto"/>
              <w:bottom w:val="nil"/>
            </w:tcBorders>
            <w:shd w:val="clear" w:color="auto" w:fill="auto"/>
            <w:vAlign w:val="center"/>
          </w:tcPr>
          <w:p w14:paraId="6C92EEE2" w14:textId="54C5DA9B" w:rsidR="007E7FE1" w:rsidRPr="00AC5FFA" w:rsidRDefault="00BC63F3" w:rsidP="00FE17EB">
            <w:pPr>
              <w:spacing w:before="60" w:after="60"/>
              <w:rPr>
                <w:rFonts w:ascii="Century Gothic" w:hAnsi="Century Gothic"/>
              </w:rPr>
            </w:pPr>
            <w:r>
              <w:rPr>
                <w:rFonts w:ascii="Century Gothic" w:hAnsi="Century Gothic"/>
              </w:rPr>
              <w:t>Tuesday 25 February 2020</w:t>
            </w:r>
          </w:p>
        </w:tc>
      </w:tr>
      <w:tr w:rsidR="007E7FE1" w:rsidRPr="00AC5FFA" w14:paraId="5F249937" w14:textId="77777777" w:rsidTr="00497077">
        <w:trPr>
          <w:cantSplit/>
          <w:trHeight w:val="80"/>
        </w:trPr>
        <w:tc>
          <w:tcPr>
            <w:tcW w:w="2500" w:type="pct"/>
            <w:tcBorders>
              <w:top w:val="nil"/>
              <w:left w:val="nil"/>
              <w:bottom w:val="single" w:sz="4" w:space="0" w:color="auto"/>
              <w:right w:val="nil"/>
              <w:tl2br w:val="nil"/>
              <w:tr2bl w:val="nil"/>
            </w:tcBorders>
            <w:shd w:val="clear" w:color="auto" w:fill="E5EEE1"/>
            <w:vAlign w:val="center"/>
          </w:tcPr>
          <w:p w14:paraId="3AB5EB0D" w14:textId="174EF202" w:rsidR="007E7FE1" w:rsidRPr="00AC5FFA" w:rsidRDefault="00BC63F3" w:rsidP="00FE17EB">
            <w:pPr>
              <w:spacing w:before="60" w:after="60"/>
              <w:rPr>
                <w:rFonts w:ascii="Century Gothic" w:hAnsi="Century Gothic"/>
                <w:i/>
                <w:highlight w:val="yellow"/>
              </w:rPr>
            </w:pPr>
            <w:r w:rsidRPr="00497077">
              <w:rPr>
                <w:rFonts w:ascii="Century Gothic" w:hAnsi="Century Gothic"/>
                <w:i/>
              </w:rPr>
              <w:t xml:space="preserve">Sunbury Macedon Leader </w:t>
            </w:r>
          </w:p>
        </w:tc>
        <w:tc>
          <w:tcPr>
            <w:tcW w:w="2500" w:type="pct"/>
            <w:tcBorders>
              <w:top w:val="nil"/>
              <w:left w:val="nil"/>
              <w:bottom w:val="single" w:sz="4" w:space="0" w:color="auto"/>
              <w:right w:val="nil"/>
              <w:tl2br w:val="nil"/>
              <w:tr2bl w:val="nil"/>
            </w:tcBorders>
            <w:shd w:val="clear" w:color="auto" w:fill="E5EEE1"/>
            <w:vAlign w:val="center"/>
          </w:tcPr>
          <w:p w14:paraId="70073261" w14:textId="6345BCE7" w:rsidR="007E7FE1" w:rsidRPr="00AC5FFA" w:rsidRDefault="00BC63F3" w:rsidP="00FE17EB">
            <w:pPr>
              <w:spacing w:before="60" w:after="60"/>
              <w:rPr>
                <w:rFonts w:ascii="Century Gothic" w:hAnsi="Century Gothic"/>
              </w:rPr>
            </w:pPr>
            <w:r>
              <w:rPr>
                <w:rFonts w:ascii="Century Gothic" w:hAnsi="Century Gothic"/>
              </w:rPr>
              <w:t>Tuesday 25 February 2020</w:t>
            </w:r>
          </w:p>
        </w:tc>
      </w:tr>
    </w:tbl>
    <w:p w14:paraId="4886B076" w14:textId="77777777" w:rsidR="007E7FE1" w:rsidRPr="00AC5FFA" w:rsidRDefault="007E7FE1" w:rsidP="00431162">
      <w:pPr>
        <w:pStyle w:val="Heading2noTOC"/>
        <w:spacing w:before="320"/>
      </w:pPr>
      <w:r w:rsidRPr="00AC5FFA">
        <w:t>Media releases</w:t>
      </w:r>
    </w:p>
    <w:p w14:paraId="722C7EEC" w14:textId="763D977D" w:rsidR="007E7FE1" w:rsidRPr="00AC5FFA" w:rsidRDefault="007E7FE1" w:rsidP="00C31A51">
      <w:pPr>
        <w:pStyle w:val="BodyText"/>
      </w:pPr>
      <w:r w:rsidRPr="00AC5FFA">
        <w:t>A media release was prepared and distributed to local media to promote the publication of the preliminary report o</w:t>
      </w:r>
      <w:r w:rsidR="00BC63F3">
        <w:t>n Monday 24 February 2020</w:t>
      </w:r>
      <w:r w:rsidRPr="00AC5FFA">
        <w:t>. A final media advisory was circulated on the publication date of this final report.</w:t>
      </w:r>
    </w:p>
    <w:p w14:paraId="300E1EB1" w14:textId="77777777" w:rsidR="007E7FE1" w:rsidRPr="00AC5FFA" w:rsidRDefault="007E7FE1" w:rsidP="009C274E">
      <w:pPr>
        <w:pStyle w:val="Heading2noTOC"/>
      </w:pPr>
      <w:r w:rsidRPr="00AC5FFA">
        <w:t>VEC website</w:t>
      </w:r>
    </w:p>
    <w:p w14:paraId="28BC48FD" w14:textId="77777777" w:rsidR="007E7FE1" w:rsidRPr="00AC5FFA" w:rsidRDefault="007E7FE1" w:rsidP="009C274E">
      <w:pPr>
        <w:pStyle w:val="BodyText"/>
      </w:pPr>
      <w:r w:rsidRPr="00AC5FFA">
        <w:t>The VEC website delivered up-to-date information to provide transparency and facilitate public participation during the review process. All public submissions were published on the website.</w:t>
      </w:r>
    </w:p>
    <w:p w14:paraId="5A48DFD6" w14:textId="77777777" w:rsidR="007E7FE1" w:rsidRPr="00AC5FFA" w:rsidRDefault="007E7FE1" w:rsidP="00261FD2">
      <w:pPr>
        <w:pStyle w:val="Heading3"/>
      </w:pPr>
      <w:r w:rsidRPr="00AC5FFA">
        <w:t>Online submission tool</w:t>
      </w:r>
    </w:p>
    <w:p w14:paraId="38BFEAFC" w14:textId="77777777" w:rsidR="007E7FE1" w:rsidRPr="00AC5FFA" w:rsidRDefault="007E7FE1" w:rsidP="00261FD2">
      <w:pPr>
        <w:pStyle w:val="BodyText"/>
      </w:pPr>
      <w:r w:rsidRPr="00AC5FFA">
        <w:t xml:space="preserve">An online submission tool was developed and made available during the submission period of the review. The tool allowed people to make a submission from the VEC website. </w:t>
      </w:r>
    </w:p>
    <w:p w14:paraId="35A6A202" w14:textId="77777777" w:rsidR="007E7FE1" w:rsidRPr="00AC5FFA" w:rsidRDefault="007E7FE1" w:rsidP="00C31A51">
      <w:pPr>
        <w:pStyle w:val="Heading2noTOC"/>
      </w:pPr>
      <w:r w:rsidRPr="00AC5FFA">
        <w:t>Email and social media engagement</w:t>
      </w:r>
    </w:p>
    <w:p w14:paraId="54A2061C" w14:textId="77777777" w:rsidR="007E7FE1" w:rsidRPr="00AC5FFA" w:rsidRDefault="007E7FE1" w:rsidP="004665D9">
      <w:pPr>
        <w:pStyle w:val="BodyText"/>
      </w:pPr>
      <w:r w:rsidRPr="00AC5FFA">
        <w:t xml:space="preserve">The VEC delivered an information email campaign targeted at known community groups and communities of interest in the local council area. This included a reminder email at each milestone of the </w:t>
      </w:r>
      <w:r>
        <w:t>subdivision</w:t>
      </w:r>
      <w:r w:rsidRPr="00AC5FFA">
        <w:t xml:space="preserve"> review process.</w:t>
      </w:r>
    </w:p>
    <w:p w14:paraId="66D142C7" w14:textId="534CE23F" w:rsidR="00EE2AFE" w:rsidRDefault="007E7FE1" w:rsidP="004665D9">
      <w:pPr>
        <w:pStyle w:val="BodyText"/>
      </w:pPr>
      <w:r w:rsidRPr="00AC5FFA">
        <w:t>The VEC also published sponsored social media advertising that was geo-targeted to users within the local council area</w:t>
      </w:r>
      <w:r w:rsidRPr="00BC63F3">
        <w:t xml:space="preserve">. </w:t>
      </w:r>
      <w:r w:rsidRPr="00497077">
        <w:t xml:space="preserve">The total reach of these posts was </w:t>
      </w:r>
      <w:r w:rsidR="00BC63F3" w:rsidRPr="00497077">
        <w:t>14,797</w:t>
      </w:r>
      <w:r w:rsidRPr="00497077">
        <w:t>.</w:t>
      </w:r>
    </w:p>
    <w:p w14:paraId="47906F11" w14:textId="77777777" w:rsidR="00EE2AFE" w:rsidRDefault="00EE2AFE">
      <w:pPr>
        <w:rPr>
          <w:rFonts w:ascii="Century Gothic" w:hAnsi="Century Gothic"/>
        </w:rPr>
      </w:pPr>
      <w:r>
        <w:br w:type="page"/>
      </w:r>
    </w:p>
    <w:p w14:paraId="04FBA7A2" w14:textId="77777777" w:rsidR="007E7FE1" w:rsidRPr="00AC5FFA" w:rsidRDefault="007E7FE1" w:rsidP="00C31A51">
      <w:pPr>
        <w:pStyle w:val="Heading2noTOC"/>
      </w:pPr>
      <w:r w:rsidRPr="00AC5FFA">
        <w:lastRenderedPageBreak/>
        <w:t>Council communication resources</w:t>
      </w:r>
    </w:p>
    <w:p w14:paraId="455AB570" w14:textId="77777777" w:rsidR="007E7FE1" w:rsidRDefault="007E7FE1" w:rsidP="00C31A51">
      <w:pPr>
        <w:pStyle w:val="BodyText"/>
      </w:pPr>
      <w:r w:rsidRPr="00AC5FFA">
        <w:t xml:space="preserve">The VEC provided the Council with a communication pack that included information on the review in various formats. While the council is encouraged to distribute this information and raise awareness about the review, the VEC is an independent reviewer and all communications resources include reference and links to the VEC website and core materials.  </w:t>
      </w:r>
    </w:p>
    <w:p w14:paraId="43EF5D62" w14:textId="77777777" w:rsidR="004A0E90" w:rsidRPr="00AC5FFA" w:rsidRDefault="004A0E90" w:rsidP="00C31A51">
      <w:pPr>
        <w:pStyle w:val="BodyText"/>
      </w:pPr>
      <w:bookmarkStart w:id="23" w:name="LastPage"/>
      <w:bookmarkEnd w:id="23"/>
    </w:p>
    <w:p w14:paraId="50DE4E52" w14:textId="77777777" w:rsidR="007E7FE1" w:rsidRPr="00AC5FFA" w:rsidRDefault="007E7FE1" w:rsidP="005D6CFA">
      <w:pPr>
        <w:rPr>
          <w:rFonts w:ascii="Century Gothic" w:hAnsi="Century Gothic"/>
        </w:rPr>
      </w:pPr>
    </w:p>
    <w:p w14:paraId="7B6F71D5" w14:textId="77777777" w:rsidR="007E7FE1" w:rsidRPr="00AC5FFA" w:rsidRDefault="007E7FE1" w:rsidP="00CC1CC7">
      <w:pPr>
        <w:pStyle w:val="Blankpagenote"/>
        <w:jc w:val="left"/>
        <w:sectPr w:rsidR="007E7FE1" w:rsidRPr="00AC5FFA" w:rsidSect="009E6D4C">
          <w:headerReference w:type="even" r:id="rId19"/>
          <w:headerReference w:type="default" r:id="rId20"/>
          <w:footerReference w:type="even" r:id="rId21"/>
          <w:footerReference w:type="default" r:id="rId22"/>
          <w:footerReference w:type="first" r:id="rId23"/>
          <w:pgSz w:w="11906" w:h="16838" w:code="9"/>
          <w:pgMar w:top="1440" w:right="1021" w:bottom="1134" w:left="1440" w:header="709" w:footer="709" w:gutter="0"/>
          <w:pgNumType w:start="1"/>
          <w:cols w:space="708"/>
          <w:docGrid w:linePitch="360"/>
        </w:sectPr>
      </w:pPr>
    </w:p>
    <w:p w14:paraId="7D6EF49B" w14:textId="77777777" w:rsidR="007E7FE1" w:rsidRPr="00AC5FFA" w:rsidRDefault="007E7FE1" w:rsidP="00CC1CC7">
      <w:pPr>
        <w:pStyle w:val="Blankpagenote"/>
      </w:pPr>
      <w:r w:rsidRPr="00AC5FFA">
        <w:lastRenderedPageBreak/>
        <w:t>This page has been left intentionally blank</w:t>
      </w:r>
    </w:p>
    <w:p w14:paraId="24AAE4CF" w14:textId="77777777" w:rsidR="007E7FE1" w:rsidRPr="00AC5FFA" w:rsidRDefault="007E7FE1" w:rsidP="00441D9B">
      <w:pPr>
        <w:pStyle w:val="Blankpagenote"/>
        <w:jc w:val="left"/>
      </w:pPr>
    </w:p>
    <w:p w14:paraId="4B188E79" w14:textId="77777777" w:rsidR="007E7FE1" w:rsidRPr="00AC5FFA" w:rsidRDefault="007E7FE1" w:rsidP="003C440B">
      <w:pPr>
        <w:pStyle w:val="Blankpagenote"/>
        <w:rPr>
          <w:highlight w:val="yellow"/>
        </w:rPr>
      </w:pPr>
    </w:p>
    <w:p w14:paraId="081E976B" w14:textId="77777777" w:rsidR="007E7FE1" w:rsidRPr="00AC5FFA" w:rsidRDefault="007E7FE1" w:rsidP="003C440B">
      <w:pPr>
        <w:pStyle w:val="Blankpagenote"/>
      </w:pPr>
      <w:r w:rsidRPr="00AC5FFA">
        <w:t>This page has been left intentionally blank</w:t>
      </w:r>
    </w:p>
    <w:p w14:paraId="18A3A716" w14:textId="77777777" w:rsidR="007E7FE1" w:rsidRPr="00AC5FFA" w:rsidRDefault="007E7FE1" w:rsidP="003F7134">
      <w:pPr>
        <w:pStyle w:val="Blankpagenote"/>
        <w:rPr>
          <w:highlight w:val="yellow"/>
        </w:rPr>
      </w:pPr>
    </w:p>
    <w:p w14:paraId="594DA7D8" w14:textId="77777777" w:rsidR="007E7FE1" w:rsidRDefault="007E7FE1" w:rsidP="003F7134">
      <w:pPr>
        <w:pStyle w:val="Blankpagenote"/>
        <w:rPr>
          <w:highlight w:val="yellow"/>
        </w:rPr>
      </w:pPr>
    </w:p>
    <w:p w14:paraId="132CF3CC" w14:textId="77777777" w:rsidR="007E7FE1" w:rsidRDefault="007E7FE1" w:rsidP="003F7134">
      <w:pPr>
        <w:pStyle w:val="Blankpagenote"/>
      </w:pPr>
      <w:r w:rsidRPr="00AC5FFA">
        <w:t>This page has been left intentionally blank</w:t>
      </w:r>
    </w:p>
    <w:p w14:paraId="3E9182EB" w14:textId="77777777" w:rsidR="007E7FE1" w:rsidRPr="00AC5FFA" w:rsidRDefault="007E7FE1" w:rsidP="003F7134">
      <w:pPr>
        <w:pStyle w:val="Blankpagenote"/>
      </w:pPr>
    </w:p>
    <w:p w14:paraId="6F5858D8" w14:textId="77777777" w:rsidR="007E7FE1" w:rsidRDefault="007E7FE1" w:rsidP="00FD162F">
      <w:pPr>
        <w:pStyle w:val="Blankpagenote"/>
        <w:jc w:val="left"/>
        <w:rPr>
          <w:highlight w:val="yellow"/>
        </w:rPr>
        <w:sectPr w:rsidR="007E7FE1" w:rsidSect="00077E48">
          <w:headerReference w:type="even" r:id="rId24"/>
          <w:headerReference w:type="default" r:id="rId25"/>
          <w:footerReference w:type="even" r:id="rId26"/>
          <w:footerReference w:type="default" r:id="rId27"/>
          <w:headerReference w:type="first" r:id="rId28"/>
          <w:footerReference w:type="first" r:id="rId29"/>
          <w:pgSz w:w="11906" w:h="16838" w:code="9"/>
          <w:pgMar w:top="1440" w:right="1021" w:bottom="1134" w:left="1440" w:header="709" w:footer="709" w:gutter="0"/>
          <w:cols w:space="708"/>
          <w:titlePg/>
          <w:docGrid w:linePitch="360"/>
        </w:sectPr>
      </w:pPr>
    </w:p>
    <w:tbl>
      <w:tblPr>
        <w:tblpPr w:leftFromText="180" w:rightFromText="180" w:vertAnchor="page" w:horzAnchor="margin" w:tblpXSpec="right" w:tblpY="2732"/>
        <w:tblW w:w="0" w:type="auto"/>
        <w:tblLayout w:type="fixed"/>
        <w:tblCellMar>
          <w:left w:w="0" w:type="dxa"/>
          <w:right w:w="0" w:type="dxa"/>
        </w:tblCellMar>
        <w:tblLook w:val="04A0" w:firstRow="1" w:lastRow="0" w:firstColumn="1" w:lastColumn="0" w:noHBand="0" w:noVBand="1"/>
      </w:tblPr>
      <w:tblGrid>
        <w:gridCol w:w="2856"/>
        <w:gridCol w:w="33"/>
      </w:tblGrid>
      <w:tr w:rsidR="007E7FE1" w:rsidRPr="00CD657D" w14:paraId="5B6BE88F" w14:textId="77777777" w:rsidTr="00FD162F">
        <w:trPr>
          <w:gridAfter w:val="1"/>
          <w:wAfter w:w="33" w:type="dxa"/>
        </w:trPr>
        <w:tc>
          <w:tcPr>
            <w:tcW w:w="2856" w:type="dxa"/>
            <w:tcBorders>
              <w:bottom w:val="single" w:sz="4" w:space="0" w:color="auto"/>
            </w:tcBorders>
            <w:shd w:val="clear" w:color="auto" w:fill="auto"/>
            <w:tcMar>
              <w:bottom w:w="120" w:type="dxa"/>
            </w:tcMar>
          </w:tcPr>
          <w:p w14:paraId="2B5550C1" w14:textId="77777777" w:rsidR="007E7FE1" w:rsidRPr="00FA45DB" w:rsidRDefault="007E7FE1" w:rsidP="00FD162F">
            <w:pPr>
              <w:pStyle w:val="VECBackCover"/>
              <w:rPr>
                <w:b/>
                <w:bCs/>
                <w:szCs w:val="17"/>
              </w:rPr>
            </w:pPr>
            <w:r w:rsidRPr="00FA45DB">
              <w:rPr>
                <w:b/>
                <w:szCs w:val="17"/>
              </w:rPr>
              <w:lastRenderedPageBreak/>
              <w:t xml:space="preserve">© State of Victoria </w:t>
            </w:r>
          </w:p>
          <w:p w14:paraId="0307C061" w14:textId="77777777" w:rsidR="007E7FE1" w:rsidRPr="00FA45DB" w:rsidRDefault="007E7FE1" w:rsidP="00FD162F">
            <w:pPr>
              <w:pStyle w:val="VECBackCover"/>
              <w:rPr>
                <w:bCs/>
                <w:szCs w:val="17"/>
              </w:rPr>
            </w:pPr>
            <w:r w:rsidRPr="00FA45DB">
              <w:rPr>
                <w:bCs/>
                <w:szCs w:val="17"/>
              </w:rPr>
              <w:t xml:space="preserve">(Victorian Electoral Commission) </w:t>
            </w:r>
            <w:r w:rsidR="00BD10BC">
              <w:rPr>
                <w:b/>
                <w:bCs/>
                <w:szCs w:val="17"/>
              </w:rPr>
              <w:t>April</w:t>
            </w:r>
            <w:r w:rsidRPr="00FA45DB">
              <w:rPr>
                <w:b/>
                <w:bCs/>
                <w:szCs w:val="17"/>
              </w:rPr>
              <w:t xml:space="preserve"> 2020</w:t>
            </w:r>
          </w:p>
        </w:tc>
      </w:tr>
      <w:tr w:rsidR="007E7FE1" w14:paraId="16BCE5FA" w14:textId="77777777" w:rsidTr="00FD162F">
        <w:trPr>
          <w:gridAfter w:val="1"/>
          <w:wAfter w:w="33" w:type="dxa"/>
        </w:trPr>
        <w:tc>
          <w:tcPr>
            <w:tcW w:w="2856" w:type="dxa"/>
            <w:tcBorders>
              <w:top w:val="single" w:sz="4" w:space="0" w:color="auto"/>
            </w:tcBorders>
            <w:shd w:val="clear" w:color="auto" w:fill="auto"/>
            <w:tcMar>
              <w:top w:w="136" w:type="dxa"/>
              <w:bottom w:w="248" w:type="dxa"/>
            </w:tcMar>
          </w:tcPr>
          <w:p w14:paraId="55C58CF1" w14:textId="77777777" w:rsidR="007E7FE1" w:rsidRPr="00FA45DB" w:rsidRDefault="007E7FE1" w:rsidP="00FD162F">
            <w:pPr>
              <w:pStyle w:val="VECBackCover"/>
              <w:rPr>
                <w:bCs/>
              </w:rPr>
            </w:pPr>
            <w:r w:rsidRPr="00FA45DB">
              <w:rPr>
                <w:bCs/>
              </w:rPr>
              <w:t xml:space="preserve">This work, </w:t>
            </w:r>
            <w:r w:rsidR="00E130E4">
              <w:rPr>
                <w:bCs/>
              </w:rPr>
              <w:t>Local Council Subdivision Review – Final Report Hume City Council 2020</w:t>
            </w:r>
            <w:r w:rsidRPr="00FA45DB">
              <w:rPr>
                <w:bCs/>
              </w:rPr>
              <w:t xml:space="preserve">, </w:t>
            </w:r>
            <w:r w:rsidRPr="00FA45DB">
              <w:rPr>
                <w:bCs/>
              </w:rPr>
              <w:br/>
              <w:t>is licensed under a Creative Commons Attribution 4.0 licence (http://creativecommons.org/ 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tc>
      </w:tr>
      <w:tr w:rsidR="007E7FE1" w14:paraId="17F9EF47" w14:textId="77777777" w:rsidTr="00FD162F">
        <w:tc>
          <w:tcPr>
            <w:tcW w:w="2889" w:type="dxa"/>
            <w:gridSpan w:val="2"/>
            <w:shd w:val="clear" w:color="auto" w:fill="auto"/>
            <w:tcMar>
              <w:bottom w:w="216" w:type="dxa"/>
            </w:tcMar>
          </w:tcPr>
          <w:p w14:paraId="67CF54ED" w14:textId="77777777" w:rsidR="007E7FE1" w:rsidRPr="00FA45DB" w:rsidRDefault="007E7FE1" w:rsidP="00FD162F">
            <w:pPr>
              <w:pStyle w:val="VECBackCover"/>
              <w:rPr>
                <w:bCs/>
              </w:rPr>
            </w:pPr>
            <w:r>
              <w:rPr>
                <w:bCs/>
                <w:noProof/>
                <w:sz w:val="16"/>
                <w:szCs w:val="16"/>
                <w:lang w:eastAsia="en-AU"/>
              </w:rPr>
              <w:drawing>
                <wp:inline distT="0" distB="0" distL="0" distR="0" wp14:anchorId="7586BE36" wp14:editId="4D3C234A">
                  <wp:extent cx="828675" cy="30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p>
        </w:tc>
      </w:tr>
      <w:tr w:rsidR="007E7FE1" w14:paraId="40EAB42D" w14:textId="77777777" w:rsidTr="00FD162F">
        <w:tc>
          <w:tcPr>
            <w:tcW w:w="2889" w:type="dxa"/>
            <w:gridSpan w:val="2"/>
            <w:tcBorders>
              <w:bottom w:val="single" w:sz="4" w:space="0" w:color="auto"/>
            </w:tcBorders>
            <w:shd w:val="clear" w:color="auto" w:fill="auto"/>
            <w:tcMar>
              <w:bottom w:w="136" w:type="dxa"/>
            </w:tcMar>
          </w:tcPr>
          <w:p w14:paraId="6A5D2ED6" w14:textId="77777777" w:rsidR="007E7FE1" w:rsidRPr="00FA45DB" w:rsidRDefault="007E7FE1" w:rsidP="00FD162F">
            <w:pPr>
              <w:pStyle w:val="VECBackCover"/>
              <w:rPr>
                <w:bCs/>
              </w:rPr>
            </w:pPr>
            <w:r w:rsidRPr="00FA45DB">
              <w:rPr>
                <w:bCs/>
              </w:rPr>
              <w:t>Level 11, 530 Collins Street</w:t>
            </w:r>
          </w:p>
          <w:p w14:paraId="13DAC2DA" w14:textId="77777777" w:rsidR="007E7FE1" w:rsidRPr="00FA45DB" w:rsidRDefault="007E7FE1" w:rsidP="00FD162F">
            <w:pPr>
              <w:pStyle w:val="VECBackCover"/>
              <w:rPr>
                <w:bCs/>
              </w:rPr>
            </w:pPr>
            <w:r w:rsidRPr="00FA45DB">
              <w:rPr>
                <w:bCs/>
              </w:rPr>
              <w:t>Melbourne Victoria 3000</w:t>
            </w:r>
          </w:p>
          <w:p w14:paraId="4A71E961" w14:textId="77777777" w:rsidR="007E7FE1" w:rsidRPr="00FA45DB" w:rsidRDefault="007E7FE1" w:rsidP="00FD162F">
            <w:pPr>
              <w:pStyle w:val="VECBackCover"/>
              <w:rPr>
                <w:bCs/>
              </w:rPr>
            </w:pPr>
            <w:r w:rsidRPr="00FA45DB">
              <w:rPr>
                <w:bCs/>
              </w:rPr>
              <w:t>T 131 832</w:t>
            </w:r>
          </w:p>
          <w:p w14:paraId="0F131352" w14:textId="77777777" w:rsidR="007E7FE1" w:rsidRPr="00FA45DB" w:rsidRDefault="007E7FE1" w:rsidP="00FD162F">
            <w:pPr>
              <w:pStyle w:val="VECBackCover"/>
              <w:rPr>
                <w:bCs/>
              </w:rPr>
            </w:pPr>
            <w:r w:rsidRPr="00FA45DB">
              <w:rPr>
                <w:bCs/>
              </w:rPr>
              <w:t>info@vec.vic.gov.au</w:t>
            </w:r>
          </w:p>
          <w:p w14:paraId="69D8E589" w14:textId="77777777" w:rsidR="007E7FE1" w:rsidRPr="00FA45DB" w:rsidRDefault="007E7FE1" w:rsidP="00FD162F">
            <w:pPr>
              <w:pStyle w:val="VECBackCover"/>
              <w:rPr>
                <w:bCs/>
              </w:rPr>
            </w:pPr>
            <w:r w:rsidRPr="00FA45DB">
              <w:rPr>
                <w:bCs/>
              </w:rPr>
              <w:t>vec.vic.gov.au</w:t>
            </w:r>
          </w:p>
        </w:tc>
      </w:tr>
      <w:tr w:rsidR="007E7FE1" w14:paraId="65DC2460" w14:textId="77777777" w:rsidTr="00FD162F">
        <w:tc>
          <w:tcPr>
            <w:tcW w:w="2889" w:type="dxa"/>
            <w:gridSpan w:val="2"/>
            <w:tcBorders>
              <w:top w:val="single" w:sz="4" w:space="0" w:color="auto"/>
            </w:tcBorders>
            <w:shd w:val="clear" w:color="auto" w:fill="auto"/>
            <w:tcMar>
              <w:top w:w="248" w:type="dxa"/>
              <w:bottom w:w="96" w:type="dxa"/>
            </w:tcMar>
          </w:tcPr>
          <w:p w14:paraId="070F0269" w14:textId="77777777" w:rsidR="007E7FE1" w:rsidRPr="00F65444" w:rsidRDefault="007E7FE1" w:rsidP="00FD162F">
            <w:pPr>
              <w:pStyle w:val="VECBackCover"/>
              <w:rPr>
                <w:bCs/>
              </w:rPr>
            </w:pPr>
            <w:r>
              <w:rPr>
                <w:bCs/>
                <w:noProof/>
              </w:rPr>
              <mc:AlternateContent>
                <mc:Choice Requires="wps">
                  <w:drawing>
                    <wp:inline distT="0" distB="0" distL="0" distR="0" wp14:anchorId="1722A986" wp14:editId="27CE32C7">
                      <wp:extent cx="565150" cy="295275"/>
                      <wp:effectExtent l="635" t="0" r="5715" b="0"/>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0" cy="295275"/>
                              </a:xfrm>
                              <a:custGeom>
                                <a:avLst/>
                                <a:gdLst>
                                  <a:gd name="T0" fmla="*/ 49282 w 711"/>
                                  <a:gd name="T1" fmla="*/ 267798 h 362"/>
                                  <a:gd name="T2" fmla="*/ 49282 w 711"/>
                                  <a:gd name="T3" fmla="*/ 238405 h 362"/>
                                  <a:gd name="T4" fmla="*/ 38154 w 711"/>
                                  <a:gd name="T5" fmla="*/ 222892 h 362"/>
                                  <a:gd name="T6" fmla="*/ 38154 w 711"/>
                                  <a:gd name="T7" fmla="*/ 295557 h 362"/>
                                  <a:gd name="T8" fmla="*/ 34974 w 711"/>
                                  <a:gd name="T9" fmla="*/ 271880 h 362"/>
                                  <a:gd name="T10" fmla="*/ 118435 w 711"/>
                                  <a:gd name="T11" fmla="*/ 265348 h 362"/>
                                  <a:gd name="T12" fmla="*/ 125589 w 711"/>
                                  <a:gd name="T13" fmla="*/ 253101 h 362"/>
                                  <a:gd name="T14" fmla="*/ 119230 w 711"/>
                                  <a:gd name="T15" fmla="*/ 252285 h 362"/>
                                  <a:gd name="T16" fmla="*/ 137512 w 711"/>
                                  <a:gd name="T17" fmla="*/ 277595 h 362"/>
                                  <a:gd name="T18" fmla="*/ 195537 w 711"/>
                                  <a:gd name="T19" fmla="*/ 265348 h 362"/>
                                  <a:gd name="T20" fmla="*/ 196332 w 711"/>
                                  <a:gd name="T21" fmla="*/ 257184 h 362"/>
                                  <a:gd name="T22" fmla="*/ 205870 w 711"/>
                                  <a:gd name="T23" fmla="*/ 255551 h 362"/>
                                  <a:gd name="T24" fmla="*/ 211434 w 711"/>
                                  <a:gd name="T25" fmla="*/ 255551 h 362"/>
                                  <a:gd name="T26" fmla="*/ 205870 w 711"/>
                                  <a:gd name="T27" fmla="*/ 255551 h 362"/>
                                  <a:gd name="T28" fmla="*/ 278998 w 711"/>
                                  <a:gd name="T29" fmla="*/ 239222 h 362"/>
                                  <a:gd name="T30" fmla="*/ 261511 w 711"/>
                                  <a:gd name="T31" fmla="*/ 233506 h 362"/>
                                  <a:gd name="T32" fmla="*/ 273434 w 711"/>
                                  <a:gd name="T33" fmla="*/ 277595 h 362"/>
                                  <a:gd name="T34" fmla="*/ 299665 w 711"/>
                                  <a:gd name="T35" fmla="*/ 219627 h 362"/>
                                  <a:gd name="T36" fmla="*/ 297280 w 711"/>
                                  <a:gd name="T37" fmla="*/ 277595 h 362"/>
                                  <a:gd name="T38" fmla="*/ 352921 w 711"/>
                                  <a:gd name="T39" fmla="*/ 255551 h 362"/>
                                  <a:gd name="T40" fmla="*/ 314767 w 711"/>
                                  <a:gd name="T41" fmla="*/ 255551 h 362"/>
                                  <a:gd name="T42" fmla="*/ 371203 w 711"/>
                                  <a:gd name="T43" fmla="*/ 254734 h 362"/>
                                  <a:gd name="T44" fmla="*/ 402997 w 711"/>
                                  <a:gd name="T45" fmla="*/ 251468 h 362"/>
                                  <a:gd name="T46" fmla="*/ 364844 w 711"/>
                                  <a:gd name="T47" fmla="*/ 277595 h 362"/>
                                  <a:gd name="T48" fmla="*/ 427638 w 711"/>
                                  <a:gd name="T49" fmla="*/ 251468 h 362"/>
                                  <a:gd name="T50" fmla="*/ 430818 w 711"/>
                                  <a:gd name="T51" fmla="*/ 232690 h 362"/>
                                  <a:gd name="T52" fmla="*/ 431612 w 711"/>
                                  <a:gd name="T53" fmla="*/ 273513 h 362"/>
                                  <a:gd name="T54" fmla="*/ 496791 w 711"/>
                                  <a:gd name="T55" fmla="*/ 233506 h 362"/>
                                  <a:gd name="T56" fmla="*/ 472945 w 711"/>
                                  <a:gd name="T57" fmla="*/ 277595 h 362"/>
                                  <a:gd name="T58" fmla="*/ 503945 w 711"/>
                                  <a:gd name="T59" fmla="*/ 219627 h 362"/>
                                  <a:gd name="T60" fmla="*/ 506330 w 711"/>
                                  <a:gd name="T61" fmla="*/ 233506 h 362"/>
                                  <a:gd name="T62" fmla="*/ 545278 w 711"/>
                                  <a:gd name="T63" fmla="*/ 272696 h 362"/>
                                  <a:gd name="T64" fmla="*/ 545278 w 711"/>
                                  <a:gd name="T65" fmla="*/ 232690 h 362"/>
                                  <a:gd name="T66" fmla="*/ 543689 w 711"/>
                                  <a:gd name="T67" fmla="*/ 22861 h 362"/>
                                  <a:gd name="T68" fmla="*/ 549253 w 711"/>
                                  <a:gd name="T69" fmla="*/ 118386 h 362"/>
                                  <a:gd name="T70" fmla="*/ 464202 w 711"/>
                                  <a:gd name="T71" fmla="*/ 134715 h 362"/>
                                  <a:gd name="T72" fmla="*/ 433997 w 711"/>
                                  <a:gd name="T73" fmla="*/ 75114 h 362"/>
                                  <a:gd name="T74" fmla="*/ 464202 w 711"/>
                                  <a:gd name="T75" fmla="*/ 14696 h 362"/>
                                  <a:gd name="T76" fmla="*/ 433202 w 711"/>
                                  <a:gd name="T77" fmla="*/ 13063 h 362"/>
                                  <a:gd name="T78" fmla="*/ 425254 w 711"/>
                                  <a:gd name="T79" fmla="*/ 123285 h 362"/>
                                  <a:gd name="T80" fmla="*/ 523022 w 711"/>
                                  <a:gd name="T81" fmla="*/ 148595 h 362"/>
                                  <a:gd name="T82" fmla="*/ 565150 w 711"/>
                                  <a:gd name="T83" fmla="*/ 75114 h 362"/>
                                  <a:gd name="T84" fmla="*/ 523022 w 711"/>
                                  <a:gd name="T85" fmla="*/ 816 h 362"/>
                                  <a:gd name="T86" fmla="*/ 530176 w 711"/>
                                  <a:gd name="T87" fmla="*/ 75114 h 362"/>
                                  <a:gd name="T88" fmla="*/ 517458 w 711"/>
                                  <a:gd name="T89" fmla="*/ 75114 h 362"/>
                                  <a:gd name="T90" fmla="*/ 531766 w 711"/>
                                  <a:gd name="T91" fmla="*/ 44089 h 362"/>
                                  <a:gd name="T92" fmla="*/ 372792 w 711"/>
                                  <a:gd name="T93" fmla="*/ 24494 h 362"/>
                                  <a:gd name="T94" fmla="*/ 286152 w 711"/>
                                  <a:gd name="T95" fmla="*/ 43272 h 362"/>
                                  <a:gd name="T96" fmla="*/ 209845 w 711"/>
                                  <a:gd name="T97" fmla="*/ 57968 h 362"/>
                                  <a:gd name="T98" fmla="*/ 255152 w 711"/>
                                  <a:gd name="T99" fmla="*/ 118386 h 362"/>
                                  <a:gd name="T100" fmla="*/ 0 w 711"/>
                                  <a:gd name="T101" fmla="*/ 74297 h 362"/>
                                  <a:gd name="T102" fmla="*/ 61205 w 711"/>
                                  <a:gd name="T103" fmla="*/ 74297 h 362"/>
                                  <a:gd name="T104" fmla="*/ 95384 w 711"/>
                                  <a:gd name="T105" fmla="*/ 48987 h 362"/>
                                  <a:gd name="T106" fmla="*/ 84256 w 711"/>
                                  <a:gd name="T107" fmla="*/ 95525 h 3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11" h="362">
                                    <a:moveTo>
                                      <a:pt x="0" y="315"/>
                                    </a:moveTo>
                                    <a:cubicBezTo>
                                      <a:pt x="0" y="286"/>
                                      <a:pt x="19" y="267"/>
                                      <a:pt x="48" y="267"/>
                                    </a:cubicBezTo>
                                    <a:cubicBezTo>
                                      <a:pt x="75" y="267"/>
                                      <a:pt x="95" y="283"/>
                                      <a:pt x="95" y="316"/>
                                    </a:cubicBezTo>
                                    <a:cubicBezTo>
                                      <a:pt x="95" y="332"/>
                                      <a:pt x="89" y="344"/>
                                      <a:pt x="77" y="344"/>
                                    </a:cubicBezTo>
                                    <a:cubicBezTo>
                                      <a:pt x="67" y="344"/>
                                      <a:pt x="63" y="339"/>
                                      <a:pt x="62" y="328"/>
                                    </a:cubicBezTo>
                                    <a:cubicBezTo>
                                      <a:pt x="59" y="334"/>
                                      <a:pt x="53" y="339"/>
                                      <a:pt x="44" y="339"/>
                                    </a:cubicBezTo>
                                    <a:cubicBezTo>
                                      <a:pt x="30" y="339"/>
                                      <a:pt x="20" y="328"/>
                                      <a:pt x="20" y="315"/>
                                    </a:cubicBezTo>
                                    <a:cubicBezTo>
                                      <a:pt x="20" y="302"/>
                                      <a:pt x="30" y="291"/>
                                      <a:pt x="44" y="291"/>
                                    </a:cubicBezTo>
                                    <a:cubicBezTo>
                                      <a:pt x="53" y="291"/>
                                      <a:pt x="59" y="296"/>
                                      <a:pt x="62" y="302"/>
                                    </a:cubicBezTo>
                                    <a:cubicBezTo>
                                      <a:pt x="62" y="292"/>
                                      <a:pt x="62" y="292"/>
                                      <a:pt x="62" y="292"/>
                                    </a:cubicBezTo>
                                    <a:cubicBezTo>
                                      <a:pt x="69" y="292"/>
                                      <a:pt x="69" y="292"/>
                                      <a:pt x="69" y="292"/>
                                    </a:cubicBezTo>
                                    <a:cubicBezTo>
                                      <a:pt x="69" y="325"/>
                                      <a:pt x="69" y="325"/>
                                      <a:pt x="69" y="325"/>
                                    </a:cubicBezTo>
                                    <a:cubicBezTo>
                                      <a:pt x="69" y="336"/>
                                      <a:pt x="73" y="339"/>
                                      <a:pt x="77" y="339"/>
                                    </a:cubicBezTo>
                                    <a:cubicBezTo>
                                      <a:pt x="84" y="339"/>
                                      <a:pt x="88" y="331"/>
                                      <a:pt x="88" y="316"/>
                                    </a:cubicBezTo>
                                    <a:cubicBezTo>
                                      <a:pt x="88" y="286"/>
                                      <a:pt x="72" y="273"/>
                                      <a:pt x="48" y="273"/>
                                    </a:cubicBezTo>
                                    <a:cubicBezTo>
                                      <a:pt x="22" y="273"/>
                                      <a:pt x="6" y="289"/>
                                      <a:pt x="6" y="315"/>
                                    </a:cubicBezTo>
                                    <a:cubicBezTo>
                                      <a:pt x="6" y="340"/>
                                      <a:pt x="21" y="357"/>
                                      <a:pt x="48" y="357"/>
                                    </a:cubicBezTo>
                                    <a:cubicBezTo>
                                      <a:pt x="56" y="357"/>
                                      <a:pt x="65" y="355"/>
                                      <a:pt x="74" y="350"/>
                                    </a:cubicBezTo>
                                    <a:cubicBezTo>
                                      <a:pt x="76" y="355"/>
                                      <a:pt x="76" y="355"/>
                                      <a:pt x="76" y="355"/>
                                    </a:cubicBezTo>
                                    <a:cubicBezTo>
                                      <a:pt x="66" y="361"/>
                                      <a:pt x="57" y="362"/>
                                      <a:pt x="48" y="362"/>
                                    </a:cubicBezTo>
                                    <a:cubicBezTo>
                                      <a:pt x="17" y="362"/>
                                      <a:pt x="0" y="343"/>
                                      <a:pt x="0" y="315"/>
                                    </a:cubicBezTo>
                                    <a:moveTo>
                                      <a:pt x="62" y="315"/>
                                    </a:moveTo>
                                    <a:cubicBezTo>
                                      <a:pt x="62" y="305"/>
                                      <a:pt x="55" y="297"/>
                                      <a:pt x="44" y="297"/>
                                    </a:cubicBezTo>
                                    <a:cubicBezTo>
                                      <a:pt x="34" y="297"/>
                                      <a:pt x="27" y="305"/>
                                      <a:pt x="27" y="315"/>
                                    </a:cubicBezTo>
                                    <a:cubicBezTo>
                                      <a:pt x="27" y="325"/>
                                      <a:pt x="34" y="333"/>
                                      <a:pt x="44" y="333"/>
                                    </a:cubicBezTo>
                                    <a:cubicBezTo>
                                      <a:pt x="55" y="333"/>
                                      <a:pt x="62" y="325"/>
                                      <a:pt x="62" y="315"/>
                                    </a:cubicBezTo>
                                    <a:moveTo>
                                      <a:pt x="157" y="315"/>
                                    </a:moveTo>
                                    <a:cubicBezTo>
                                      <a:pt x="114" y="315"/>
                                      <a:pt x="114" y="315"/>
                                      <a:pt x="114" y="315"/>
                                    </a:cubicBezTo>
                                    <a:cubicBezTo>
                                      <a:pt x="114" y="327"/>
                                      <a:pt x="122" y="334"/>
                                      <a:pt x="133" y="334"/>
                                    </a:cubicBezTo>
                                    <a:cubicBezTo>
                                      <a:pt x="141" y="334"/>
                                      <a:pt x="147" y="331"/>
                                      <a:pt x="149" y="325"/>
                                    </a:cubicBezTo>
                                    <a:cubicBezTo>
                                      <a:pt x="157" y="325"/>
                                      <a:pt x="157" y="325"/>
                                      <a:pt x="157" y="325"/>
                                    </a:cubicBezTo>
                                    <a:cubicBezTo>
                                      <a:pt x="155" y="334"/>
                                      <a:pt x="145" y="341"/>
                                      <a:pt x="133" y="341"/>
                                    </a:cubicBezTo>
                                    <a:cubicBezTo>
                                      <a:pt x="117" y="341"/>
                                      <a:pt x="107" y="330"/>
                                      <a:pt x="107" y="313"/>
                                    </a:cubicBezTo>
                                    <a:cubicBezTo>
                                      <a:pt x="107" y="296"/>
                                      <a:pt x="117" y="285"/>
                                      <a:pt x="133" y="285"/>
                                    </a:cubicBezTo>
                                    <a:cubicBezTo>
                                      <a:pt x="148" y="285"/>
                                      <a:pt x="158" y="295"/>
                                      <a:pt x="158" y="310"/>
                                    </a:cubicBezTo>
                                    <a:cubicBezTo>
                                      <a:pt x="158" y="312"/>
                                      <a:pt x="158" y="313"/>
                                      <a:pt x="157" y="315"/>
                                    </a:cubicBezTo>
                                    <a:moveTo>
                                      <a:pt x="150" y="309"/>
                                    </a:moveTo>
                                    <a:cubicBezTo>
                                      <a:pt x="150" y="298"/>
                                      <a:pt x="144" y="291"/>
                                      <a:pt x="133" y="291"/>
                                    </a:cubicBezTo>
                                    <a:cubicBezTo>
                                      <a:pt x="122" y="291"/>
                                      <a:pt x="115" y="298"/>
                                      <a:pt x="114" y="309"/>
                                    </a:cubicBezTo>
                                    <a:lnTo>
                                      <a:pt x="150" y="309"/>
                                    </a:lnTo>
                                    <a:close/>
                                    <a:moveTo>
                                      <a:pt x="173" y="340"/>
                                    </a:moveTo>
                                    <a:cubicBezTo>
                                      <a:pt x="181" y="340"/>
                                      <a:pt x="181" y="340"/>
                                      <a:pt x="181" y="340"/>
                                    </a:cubicBezTo>
                                    <a:cubicBezTo>
                                      <a:pt x="181" y="258"/>
                                      <a:pt x="181" y="258"/>
                                      <a:pt x="181" y="258"/>
                                    </a:cubicBezTo>
                                    <a:cubicBezTo>
                                      <a:pt x="173" y="258"/>
                                      <a:pt x="173" y="258"/>
                                      <a:pt x="173" y="258"/>
                                    </a:cubicBezTo>
                                    <a:lnTo>
                                      <a:pt x="173" y="340"/>
                                    </a:lnTo>
                                    <a:close/>
                                    <a:moveTo>
                                      <a:pt x="247" y="315"/>
                                    </a:moveTo>
                                    <a:cubicBezTo>
                                      <a:pt x="204" y="315"/>
                                      <a:pt x="204" y="315"/>
                                      <a:pt x="204" y="315"/>
                                    </a:cubicBezTo>
                                    <a:cubicBezTo>
                                      <a:pt x="204" y="327"/>
                                      <a:pt x="211" y="334"/>
                                      <a:pt x="223" y="334"/>
                                    </a:cubicBezTo>
                                    <a:cubicBezTo>
                                      <a:pt x="231" y="334"/>
                                      <a:pt x="236" y="331"/>
                                      <a:pt x="239" y="325"/>
                                    </a:cubicBezTo>
                                    <a:cubicBezTo>
                                      <a:pt x="246" y="325"/>
                                      <a:pt x="246" y="325"/>
                                      <a:pt x="246" y="325"/>
                                    </a:cubicBezTo>
                                    <a:cubicBezTo>
                                      <a:pt x="244" y="334"/>
                                      <a:pt x="235" y="341"/>
                                      <a:pt x="223" y="341"/>
                                    </a:cubicBezTo>
                                    <a:cubicBezTo>
                                      <a:pt x="207" y="341"/>
                                      <a:pt x="196" y="330"/>
                                      <a:pt x="196" y="313"/>
                                    </a:cubicBezTo>
                                    <a:cubicBezTo>
                                      <a:pt x="196" y="296"/>
                                      <a:pt x="207" y="285"/>
                                      <a:pt x="222" y="285"/>
                                    </a:cubicBezTo>
                                    <a:cubicBezTo>
                                      <a:pt x="237" y="285"/>
                                      <a:pt x="247" y="295"/>
                                      <a:pt x="247" y="310"/>
                                    </a:cubicBezTo>
                                    <a:cubicBezTo>
                                      <a:pt x="247" y="312"/>
                                      <a:pt x="247" y="313"/>
                                      <a:pt x="247" y="315"/>
                                    </a:cubicBezTo>
                                    <a:moveTo>
                                      <a:pt x="240" y="309"/>
                                    </a:moveTo>
                                    <a:cubicBezTo>
                                      <a:pt x="240" y="298"/>
                                      <a:pt x="233" y="291"/>
                                      <a:pt x="222" y="291"/>
                                    </a:cubicBezTo>
                                    <a:cubicBezTo>
                                      <a:pt x="212" y="291"/>
                                      <a:pt x="205" y="298"/>
                                      <a:pt x="204" y="309"/>
                                    </a:cubicBezTo>
                                    <a:lnTo>
                                      <a:pt x="240" y="309"/>
                                    </a:lnTo>
                                    <a:close/>
                                    <a:moveTo>
                                      <a:pt x="259" y="313"/>
                                    </a:moveTo>
                                    <a:cubicBezTo>
                                      <a:pt x="259" y="330"/>
                                      <a:pt x="269" y="341"/>
                                      <a:pt x="285" y="341"/>
                                    </a:cubicBezTo>
                                    <a:cubicBezTo>
                                      <a:pt x="299" y="341"/>
                                      <a:pt x="308" y="333"/>
                                      <a:pt x="310" y="322"/>
                                    </a:cubicBezTo>
                                    <a:cubicBezTo>
                                      <a:pt x="302" y="322"/>
                                      <a:pt x="302" y="322"/>
                                      <a:pt x="302" y="322"/>
                                    </a:cubicBezTo>
                                    <a:cubicBezTo>
                                      <a:pt x="301" y="330"/>
                                      <a:pt x="295" y="334"/>
                                      <a:pt x="285" y="334"/>
                                    </a:cubicBezTo>
                                    <a:cubicBezTo>
                                      <a:pt x="274" y="334"/>
                                      <a:pt x="266" y="326"/>
                                      <a:pt x="266" y="313"/>
                                    </a:cubicBezTo>
                                    <a:cubicBezTo>
                                      <a:pt x="266" y="300"/>
                                      <a:pt x="274" y="292"/>
                                      <a:pt x="285" y="292"/>
                                    </a:cubicBezTo>
                                    <a:cubicBezTo>
                                      <a:pt x="295" y="292"/>
                                      <a:pt x="301" y="296"/>
                                      <a:pt x="302" y="304"/>
                                    </a:cubicBezTo>
                                    <a:cubicBezTo>
                                      <a:pt x="310" y="304"/>
                                      <a:pt x="310" y="304"/>
                                      <a:pt x="310" y="304"/>
                                    </a:cubicBezTo>
                                    <a:cubicBezTo>
                                      <a:pt x="308" y="293"/>
                                      <a:pt x="299" y="285"/>
                                      <a:pt x="285" y="285"/>
                                    </a:cubicBezTo>
                                    <a:cubicBezTo>
                                      <a:pt x="269" y="285"/>
                                      <a:pt x="259" y="297"/>
                                      <a:pt x="259" y="313"/>
                                    </a:cubicBezTo>
                                    <a:moveTo>
                                      <a:pt x="353" y="333"/>
                                    </a:moveTo>
                                    <a:cubicBezTo>
                                      <a:pt x="351" y="333"/>
                                      <a:pt x="348" y="333"/>
                                      <a:pt x="346" y="333"/>
                                    </a:cubicBezTo>
                                    <a:cubicBezTo>
                                      <a:pt x="340" y="333"/>
                                      <a:pt x="336" y="332"/>
                                      <a:pt x="336" y="321"/>
                                    </a:cubicBezTo>
                                    <a:cubicBezTo>
                                      <a:pt x="336" y="293"/>
                                      <a:pt x="336" y="293"/>
                                      <a:pt x="336" y="293"/>
                                    </a:cubicBezTo>
                                    <a:cubicBezTo>
                                      <a:pt x="351" y="293"/>
                                      <a:pt x="351" y="293"/>
                                      <a:pt x="351" y="293"/>
                                    </a:cubicBezTo>
                                    <a:cubicBezTo>
                                      <a:pt x="351" y="286"/>
                                      <a:pt x="351" y="286"/>
                                      <a:pt x="351" y="286"/>
                                    </a:cubicBezTo>
                                    <a:cubicBezTo>
                                      <a:pt x="336" y="286"/>
                                      <a:pt x="336" y="286"/>
                                      <a:pt x="336" y="286"/>
                                    </a:cubicBezTo>
                                    <a:cubicBezTo>
                                      <a:pt x="336" y="269"/>
                                      <a:pt x="336" y="269"/>
                                      <a:pt x="336" y="269"/>
                                    </a:cubicBezTo>
                                    <a:cubicBezTo>
                                      <a:pt x="329" y="269"/>
                                      <a:pt x="329" y="269"/>
                                      <a:pt x="329" y="269"/>
                                    </a:cubicBezTo>
                                    <a:cubicBezTo>
                                      <a:pt x="329" y="286"/>
                                      <a:pt x="329" y="286"/>
                                      <a:pt x="329" y="286"/>
                                    </a:cubicBezTo>
                                    <a:cubicBezTo>
                                      <a:pt x="319" y="286"/>
                                      <a:pt x="319" y="286"/>
                                      <a:pt x="319" y="286"/>
                                    </a:cubicBezTo>
                                    <a:cubicBezTo>
                                      <a:pt x="319" y="293"/>
                                      <a:pt x="319" y="293"/>
                                      <a:pt x="319" y="293"/>
                                    </a:cubicBezTo>
                                    <a:cubicBezTo>
                                      <a:pt x="329" y="293"/>
                                      <a:pt x="329" y="293"/>
                                      <a:pt x="329" y="293"/>
                                    </a:cubicBezTo>
                                    <a:cubicBezTo>
                                      <a:pt x="329" y="322"/>
                                      <a:pt x="329" y="322"/>
                                      <a:pt x="329" y="322"/>
                                    </a:cubicBezTo>
                                    <a:cubicBezTo>
                                      <a:pt x="329" y="339"/>
                                      <a:pt x="338" y="340"/>
                                      <a:pt x="344" y="340"/>
                                    </a:cubicBezTo>
                                    <a:cubicBezTo>
                                      <a:pt x="347" y="340"/>
                                      <a:pt x="351" y="340"/>
                                      <a:pt x="353" y="339"/>
                                    </a:cubicBezTo>
                                    <a:cubicBezTo>
                                      <a:pt x="353" y="333"/>
                                      <a:pt x="353" y="333"/>
                                      <a:pt x="353" y="333"/>
                                    </a:cubicBezTo>
                                    <a:moveTo>
                                      <a:pt x="363" y="269"/>
                                    </a:moveTo>
                                    <a:cubicBezTo>
                                      <a:pt x="363" y="265"/>
                                      <a:pt x="366" y="262"/>
                                      <a:pt x="370" y="262"/>
                                    </a:cubicBezTo>
                                    <a:cubicBezTo>
                                      <a:pt x="374" y="262"/>
                                      <a:pt x="377" y="265"/>
                                      <a:pt x="377" y="269"/>
                                    </a:cubicBezTo>
                                    <a:cubicBezTo>
                                      <a:pt x="377" y="273"/>
                                      <a:pt x="374" y="276"/>
                                      <a:pt x="370" y="276"/>
                                    </a:cubicBezTo>
                                    <a:cubicBezTo>
                                      <a:pt x="366" y="276"/>
                                      <a:pt x="363" y="273"/>
                                      <a:pt x="363" y="269"/>
                                    </a:cubicBezTo>
                                    <a:moveTo>
                                      <a:pt x="366" y="286"/>
                                    </a:moveTo>
                                    <a:cubicBezTo>
                                      <a:pt x="374" y="286"/>
                                      <a:pt x="374" y="286"/>
                                      <a:pt x="374" y="286"/>
                                    </a:cubicBezTo>
                                    <a:cubicBezTo>
                                      <a:pt x="374" y="340"/>
                                      <a:pt x="374" y="340"/>
                                      <a:pt x="374" y="340"/>
                                    </a:cubicBezTo>
                                    <a:cubicBezTo>
                                      <a:pt x="366" y="340"/>
                                      <a:pt x="366" y="340"/>
                                      <a:pt x="366" y="340"/>
                                    </a:cubicBezTo>
                                    <a:lnTo>
                                      <a:pt x="366" y="286"/>
                                    </a:lnTo>
                                    <a:close/>
                                    <a:moveTo>
                                      <a:pt x="389" y="313"/>
                                    </a:moveTo>
                                    <a:cubicBezTo>
                                      <a:pt x="389" y="298"/>
                                      <a:pt x="399" y="285"/>
                                      <a:pt x="416" y="285"/>
                                    </a:cubicBezTo>
                                    <a:cubicBezTo>
                                      <a:pt x="433" y="285"/>
                                      <a:pt x="444" y="298"/>
                                      <a:pt x="444" y="313"/>
                                    </a:cubicBezTo>
                                    <a:cubicBezTo>
                                      <a:pt x="444" y="328"/>
                                      <a:pt x="433" y="341"/>
                                      <a:pt x="416" y="341"/>
                                    </a:cubicBezTo>
                                    <a:cubicBezTo>
                                      <a:pt x="399" y="341"/>
                                      <a:pt x="389" y="328"/>
                                      <a:pt x="389" y="313"/>
                                    </a:cubicBezTo>
                                    <a:moveTo>
                                      <a:pt x="436" y="313"/>
                                    </a:moveTo>
                                    <a:cubicBezTo>
                                      <a:pt x="436" y="301"/>
                                      <a:pt x="429" y="292"/>
                                      <a:pt x="416" y="292"/>
                                    </a:cubicBezTo>
                                    <a:cubicBezTo>
                                      <a:pt x="404" y="292"/>
                                      <a:pt x="396" y="301"/>
                                      <a:pt x="396" y="313"/>
                                    </a:cubicBezTo>
                                    <a:cubicBezTo>
                                      <a:pt x="396" y="325"/>
                                      <a:pt x="404" y="334"/>
                                      <a:pt x="416" y="334"/>
                                    </a:cubicBezTo>
                                    <a:cubicBezTo>
                                      <a:pt x="429" y="334"/>
                                      <a:pt x="436" y="325"/>
                                      <a:pt x="436" y="313"/>
                                    </a:cubicBezTo>
                                    <a:moveTo>
                                      <a:pt x="459" y="340"/>
                                    </a:moveTo>
                                    <a:cubicBezTo>
                                      <a:pt x="467" y="340"/>
                                      <a:pt x="467" y="340"/>
                                      <a:pt x="467" y="340"/>
                                    </a:cubicBezTo>
                                    <a:cubicBezTo>
                                      <a:pt x="467" y="312"/>
                                      <a:pt x="467" y="312"/>
                                      <a:pt x="467" y="312"/>
                                    </a:cubicBezTo>
                                    <a:cubicBezTo>
                                      <a:pt x="467" y="300"/>
                                      <a:pt x="472" y="292"/>
                                      <a:pt x="484" y="292"/>
                                    </a:cubicBezTo>
                                    <a:cubicBezTo>
                                      <a:pt x="494" y="292"/>
                                      <a:pt x="499" y="298"/>
                                      <a:pt x="499" y="311"/>
                                    </a:cubicBezTo>
                                    <a:cubicBezTo>
                                      <a:pt x="499" y="340"/>
                                      <a:pt x="499" y="340"/>
                                      <a:pt x="499" y="340"/>
                                    </a:cubicBezTo>
                                    <a:cubicBezTo>
                                      <a:pt x="507" y="340"/>
                                      <a:pt x="507" y="340"/>
                                      <a:pt x="507" y="340"/>
                                    </a:cubicBezTo>
                                    <a:cubicBezTo>
                                      <a:pt x="507" y="308"/>
                                      <a:pt x="507" y="308"/>
                                      <a:pt x="507" y="308"/>
                                    </a:cubicBezTo>
                                    <a:cubicBezTo>
                                      <a:pt x="507" y="293"/>
                                      <a:pt x="500" y="285"/>
                                      <a:pt x="487" y="285"/>
                                    </a:cubicBezTo>
                                    <a:cubicBezTo>
                                      <a:pt x="476" y="285"/>
                                      <a:pt x="469" y="291"/>
                                      <a:pt x="467" y="299"/>
                                    </a:cubicBezTo>
                                    <a:cubicBezTo>
                                      <a:pt x="467" y="286"/>
                                      <a:pt x="467" y="286"/>
                                      <a:pt x="467" y="286"/>
                                    </a:cubicBezTo>
                                    <a:cubicBezTo>
                                      <a:pt x="459" y="286"/>
                                      <a:pt x="459" y="286"/>
                                      <a:pt x="459" y="286"/>
                                    </a:cubicBezTo>
                                    <a:lnTo>
                                      <a:pt x="459" y="340"/>
                                    </a:lnTo>
                                    <a:close/>
                                    <a:moveTo>
                                      <a:pt x="521" y="324"/>
                                    </a:moveTo>
                                    <a:cubicBezTo>
                                      <a:pt x="521" y="333"/>
                                      <a:pt x="529" y="341"/>
                                      <a:pt x="543" y="341"/>
                                    </a:cubicBezTo>
                                    <a:cubicBezTo>
                                      <a:pt x="555" y="341"/>
                                      <a:pt x="563" y="335"/>
                                      <a:pt x="563" y="325"/>
                                    </a:cubicBezTo>
                                    <a:cubicBezTo>
                                      <a:pt x="563" y="319"/>
                                      <a:pt x="560" y="313"/>
                                      <a:pt x="552" y="311"/>
                                    </a:cubicBezTo>
                                    <a:cubicBezTo>
                                      <a:pt x="538" y="308"/>
                                      <a:pt x="538" y="308"/>
                                      <a:pt x="538" y="308"/>
                                    </a:cubicBezTo>
                                    <a:cubicBezTo>
                                      <a:pt x="532" y="306"/>
                                      <a:pt x="530" y="303"/>
                                      <a:pt x="530" y="300"/>
                                    </a:cubicBezTo>
                                    <a:cubicBezTo>
                                      <a:pt x="530" y="294"/>
                                      <a:pt x="536" y="291"/>
                                      <a:pt x="542" y="291"/>
                                    </a:cubicBezTo>
                                    <a:cubicBezTo>
                                      <a:pt x="550" y="291"/>
                                      <a:pt x="555" y="295"/>
                                      <a:pt x="555" y="300"/>
                                    </a:cubicBezTo>
                                    <a:cubicBezTo>
                                      <a:pt x="562" y="300"/>
                                      <a:pt x="562" y="300"/>
                                      <a:pt x="562" y="300"/>
                                    </a:cubicBezTo>
                                    <a:cubicBezTo>
                                      <a:pt x="562" y="291"/>
                                      <a:pt x="555" y="285"/>
                                      <a:pt x="542" y="285"/>
                                    </a:cubicBezTo>
                                    <a:cubicBezTo>
                                      <a:pt x="531" y="285"/>
                                      <a:pt x="523" y="291"/>
                                      <a:pt x="523" y="300"/>
                                    </a:cubicBezTo>
                                    <a:cubicBezTo>
                                      <a:pt x="523" y="306"/>
                                      <a:pt x="526" y="312"/>
                                      <a:pt x="534" y="314"/>
                                    </a:cubicBezTo>
                                    <a:cubicBezTo>
                                      <a:pt x="549" y="317"/>
                                      <a:pt x="549" y="317"/>
                                      <a:pt x="549" y="317"/>
                                    </a:cubicBezTo>
                                    <a:cubicBezTo>
                                      <a:pt x="554" y="318"/>
                                      <a:pt x="556" y="322"/>
                                      <a:pt x="556" y="326"/>
                                    </a:cubicBezTo>
                                    <a:cubicBezTo>
                                      <a:pt x="556" y="332"/>
                                      <a:pt x="550" y="335"/>
                                      <a:pt x="543" y="335"/>
                                    </a:cubicBezTo>
                                    <a:cubicBezTo>
                                      <a:pt x="534" y="335"/>
                                      <a:pt x="529" y="330"/>
                                      <a:pt x="529" y="324"/>
                                    </a:cubicBezTo>
                                    <a:cubicBezTo>
                                      <a:pt x="521" y="324"/>
                                      <a:pt x="521" y="324"/>
                                      <a:pt x="521" y="324"/>
                                    </a:cubicBezTo>
                                    <a:moveTo>
                                      <a:pt x="595" y="340"/>
                                    </a:moveTo>
                                    <a:cubicBezTo>
                                      <a:pt x="601" y="340"/>
                                      <a:pt x="601" y="340"/>
                                      <a:pt x="601" y="340"/>
                                    </a:cubicBezTo>
                                    <a:cubicBezTo>
                                      <a:pt x="625" y="286"/>
                                      <a:pt x="625" y="286"/>
                                      <a:pt x="625" y="286"/>
                                    </a:cubicBezTo>
                                    <a:cubicBezTo>
                                      <a:pt x="617" y="286"/>
                                      <a:pt x="617" y="286"/>
                                      <a:pt x="617" y="286"/>
                                    </a:cubicBezTo>
                                    <a:cubicBezTo>
                                      <a:pt x="598" y="330"/>
                                      <a:pt x="598" y="330"/>
                                      <a:pt x="598" y="330"/>
                                    </a:cubicBezTo>
                                    <a:cubicBezTo>
                                      <a:pt x="579" y="286"/>
                                      <a:pt x="579" y="286"/>
                                      <a:pt x="579" y="286"/>
                                    </a:cubicBezTo>
                                    <a:cubicBezTo>
                                      <a:pt x="571" y="286"/>
                                      <a:pt x="571" y="286"/>
                                      <a:pt x="571" y="286"/>
                                    </a:cubicBezTo>
                                    <a:lnTo>
                                      <a:pt x="595" y="340"/>
                                    </a:lnTo>
                                    <a:close/>
                                    <a:moveTo>
                                      <a:pt x="634" y="269"/>
                                    </a:moveTo>
                                    <a:cubicBezTo>
                                      <a:pt x="634" y="265"/>
                                      <a:pt x="636" y="262"/>
                                      <a:pt x="641" y="262"/>
                                    </a:cubicBezTo>
                                    <a:cubicBezTo>
                                      <a:pt x="645" y="262"/>
                                      <a:pt x="648" y="265"/>
                                      <a:pt x="648" y="269"/>
                                    </a:cubicBezTo>
                                    <a:cubicBezTo>
                                      <a:pt x="648" y="273"/>
                                      <a:pt x="645" y="276"/>
                                      <a:pt x="641" y="276"/>
                                    </a:cubicBezTo>
                                    <a:cubicBezTo>
                                      <a:pt x="636" y="276"/>
                                      <a:pt x="634" y="273"/>
                                      <a:pt x="634" y="269"/>
                                    </a:cubicBezTo>
                                    <a:moveTo>
                                      <a:pt x="637" y="286"/>
                                    </a:moveTo>
                                    <a:cubicBezTo>
                                      <a:pt x="644" y="286"/>
                                      <a:pt x="644" y="286"/>
                                      <a:pt x="644" y="286"/>
                                    </a:cubicBezTo>
                                    <a:cubicBezTo>
                                      <a:pt x="644" y="340"/>
                                      <a:pt x="644" y="340"/>
                                      <a:pt x="644" y="340"/>
                                    </a:cubicBezTo>
                                    <a:cubicBezTo>
                                      <a:pt x="637" y="340"/>
                                      <a:pt x="637" y="340"/>
                                      <a:pt x="637" y="340"/>
                                    </a:cubicBezTo>
                                    <a:lnTo>
                                      <a:pt x="637" y="286"/>
                                    </a:lnTo>
                                    <a:close/>
                                    <a:moveTo>
                                      <a:pt x="659" y="313"/>
                                    </a:moveTo>
                                    <a:cubicBezTo>
                                      <a:pt x="659" y="330"/>
                                      <a:pt x="670" y="341"/>
                                      <a:pt x="686" y="341"/>
                                    </a:cubicBezTo>
                                    <a:cubicBezTo>
                                      <a:pt x="700" y="341"/>
                                      <a:pt x="709" y="333"/>
                                      <a:pt x="710" y="322"/>
                                    </a:cubicBezTo>
                                    <a:cubicBezTo>
                                      <a:pt x="703" y="322"/>
                                      <a:pt x="703" y="322"/>
                                      <a:pt x="703" y="322"/>
                                    </a:cubicBezTo>
                                    <a:cubicBezTo>
                                      <a:pt x="701" y="330"/>
                                      <a:pt x="695" y="334"/>
                                      <a:pt x="686" y="334"/>
                                    </a:cubicBezTo>
                                    <a:cubicBezTo>
                                      <a:pt x="674" y="334"/>
                                      <a:pt x="667" y="326"/>
                                      <a:pt x="667" y="313"/>
                                    </a:cubicBezTo>
                                    <a:cubicBezTo>
                                      <a:pt x="667" y="300"/>
                                      <a:pt x="674" y="292"/>
                                      <a:pt x="686" y="292"/>
                                    </a:cubicBezTo>
                                    <a:cubicBezTo>
                                      <a:pt x="695" y="292"/>
                                      <a:pt x="701" y="296"/>
                                      <a:pt x="703" y="304"/>
                                    </a:cubicBezTo>
                                    <a:cubicBezTo>
                                      <a:pt x="710" y="304"/>
                                      <a:pt x="710" y="304"/>
                                      <a:pt x="710" y="304"/>
                                    </a:cubicBezTo>
                                    <a:cubicBezTo>
                                      <a:pt x="709" y="293"/>
                                      <a:pt x="700" y="285"/>
                                      <a:pt x="686" y="285"/>
                                    </a:cubicBezTo>
                                    <a:cubicBezTo>
                                      <a:pt x="670" y="285"/>
                                      <a:pt x="659" y="297"/>
                                      <a:pt x="659" y="313"/>
                                    </a:cubicBezTo>
                                    <a:moveTo>
                                      <a:pt x="621" y="17"/>
                                    </a:moveTo>
                                    <a:cubicBezTo>
                                      <a:pt x="645" y="17"/>
                                      <a:pt x="648" y="17"/>
                                      <a:pt x="657" y="18"/>
                                    </a:cubicBezTo>
                                    <a:cubicBezTo>
                                      <a:pt x="666" y="18"/>
                                      <a:pt x="671" y="20"/>
                                      <a:pt x="674" y="21"/>
                                    </a:cubicBezTo>
                                    <a:cubicBezTo>
                                      <a:pt x="678" y="23"/>
                                      <a:pt x="681" y="25"/>
                                      <a:pt x="684" y="28"/>
                                    </a:cubicBezTo>
                                    <a:cubicBezTo>
                                      <a:pt x="688" y="31"/>
                                      <a:pt x="690" y="34"/>
                                      <a:pt x="691" y="38"/>
                                    </a:cubicBezTo>
                                    <a:cubicBezTo>
                                      <a:pt x="692" y="41"/>
                                      <a:pt x="694" y="46"/>
                                      <a:pt x="694" y="55"/>
                                    </a:cubicBezTo>
                                    <a:cubicBezTo>
                                      <a:pt x="695" y="65"/>
                                      <a:pt x="695" y="67"/>
                                      <a:pt x="695" y="92"/>
                                    </a:cubicBezTo>
                                    <a:cubicBezTo>
                                      <a:pt x="695" y="116"/>
                                      <a:pt x="695" y="119"/>
                                      <a:pt x="694" y="128"/>
                                    </a:cubicBezTo>
                                    <a:cubicBezTo>
                                      <a:pt x="694" y="137"/>
                                      <a:pt x="692" y="142"/>
                                      <a:pt x="691" y="145"/>
                                    </a:cubicBezTo>
                                    <a:cubicBezTo>
                                      <a:pt x="690" y="149"/>
                                      <a:pt x="688" y="152"/>
                                      <a:pt x="684" y="156"/>
                                    </a:cubicBezTo>
                                    <a:cubicBezTo>
                                      <a:pt x="681" y="159"/>
                                      <a:pt x="678" y="161"/>
                                      <a:pt x="674" y="162"/>
                                    </a:cubicBezTo>
                                    <a:cubicBezTo>
                                      <a:pt x="671" y="164"/>
                                      <a:pt x="666" y="165"/>
                                      <a:pt x="657" y="165"/>
                                    </a:cubicBezTo>
                                    <a:cubicBezTo>
                                      <a:pt x="648" y="166"/>
                                      <a:pt x="645" y="166"/>
                                      <a:pt x="621" y="166"/>
                                    </a:cubicBezTo>
                                    <a:cubicBezTo>
                                      <a:pt x="596" y="166"/>
                                      <a:pt x="593" y="166"/>
                                      <a:pt x="584" y="165"/>
                                    </a:cubicBezTo>
                                    <a:cubicBezTo>
                                      <a:pt x="575" y="165"/>
                                      <a:pt x="570" y="164"/>
                                      <a:pt x="567" y="162"/>
                                    </a:cubicBezTo>
                                    <a:cubicBezTo>
                                      <a:pt x="563" y="161"/>
                                      <a:pt x="560" y="159"/>
                                      <a:pt x="557" y="156"/>
                                    </a:cubicBezTo>
                                    <a:cubicBezTo>
                                      <a:pt x="553" y="152"/>
                                      <a:pt x="551" y="149"/>
                                      <a:pt x="550" y="145"/>
                                    </a:cubicBezTo>
                                    <a:cubicBezTo>
                                      <a:pt x="549" y="142"/>
                                      <a:pt x="547" y="137"/>
                                      <a:pt x="547" y="128"/>
                                    </a:cubicBezTo>
                                    <a:cubicBezTo>
                                      <a:pt x="546" y="119"/>
                                      <a:pt x="546" y="116"/>
                                      <a:pt x="546" y="92"/>
                                    </a:cubicBezTo>
                                    <a:cubicBezTo>
                                      <a:pt x="546" y="67"/>
                                      <a:pt x="546" y="65"/>
                                      <a:pt x="547" y="55"/>
                                    </a:cubicBezTo>
                                    <a:cubicBezTo>
                                      <a:pt x="547" y="46"/>
                                      <a:pt x="549" y="41"/>
                                      <a:pt x="550" y="38"/>
                                    </a:cubicBezTo>
                                    <a:cubicBezTo>
                                      <a:pt x="551" y="34"/>
                                      <a:pt x="553" y="31"/>
                                      <a:pt x="557" y="28"/>
                                    </a:cubicBezTo>
                                    <a:cubicBezTo>
                                      <a:pt x="560" y="25"/>
                                      <a:pt x="563" y="23"/>
                                      <a:pt x="567" y="21"/>
                                    </a:cubicBezTo>
                                    <a:cubicBezTo>
                                      <a:pt x="570" y="20"/>
                                      <a:pt x="575" y="18"/>
                                      <a:pt x="584" y="18"/>
                                    </a:cubicBezTo>
                                    <a:cubicBezTo>
                                      <a:pt x="593" y="17"/>
                                      <a:pt x="596" y="17"/>
                                      <a:pt x="621" y="17"/>
                                    </a:cubicBezTo>
                                    <a:moveTo>
                                      <a:pt x="621" y="1"/>
                                    </a:moveTo>
                                    <a:cubicBezTo>
                                      <a:pt x="596" y="1"/>
                                      <a:pt x="593" y="1"/>
                                      <a:pt x="583" y="1"/>
                                    </a:cubicBezTo>
                                    <a:cubicBezTo>
                                      <a:pt x="573" y="2"/>
                                      <a:pt x="567" y="3"/>
                                      <a:pt x="561" y="6"/>
                                    </a:cubicBezTo>
                                    <a:cubicBezTo>
                                      <a:pt x="555" y="8"/>
                                      <a:pt x="550" y="11"/>
                                      <a:pt x="545" y="16"/>
                                    </a:cubicBezTo>
                                    <a:cubicBezTo>
                                      <a:pt x="540" y="21"/>
                                      <a:pt x="537" y="26"/>
                                      <a:pt x="535" y="32"/>
                                    </a:cubicBezTo>
                                    <a:cubicBezTo>
                                      <a:pt x="532" y="38"/>
                                      <a:pt x="531" y="45"/>
                                      <a:pt x="530" y="54"/>
                                    </a:cubicBezTo>
                                    <a:cubicBezTo>
                                      <a:pt x="530" y="64"/>
                                      <a:pt x="530" y="67"/>
                                      <a:pt x="530" y="92"/>
                                    </a:cubicBezTo>
                                    <a:cubicBezTo>
                                      <a:pt x="530" y="116"/>
                                      <a:pt x="530" y="119"/>
                                      <a:pt x="530" y="129"/>
                                    </a:cubicBezTo>
                                    <a:cubicBezTo>
                                      <a:pt x="531" y="139"/>
                                      <a:pt x="532" y="145"/>
                                      <a:pt x="535" y="151"/>
                                    </a:cubicBezTo>
                                    <a:cubicBezTo>
                                      <a:pt x="537" y="157"/>
                                      <a:pt x="540" y="162"/>
                                      <a:pt x="545" y="167"/>
                                    </a:cubicBezTo>
                                    <a:cubicBezTo>
                                      <a:pt x="550" y="172"/>
                                      <a:pt x="555" y="175"/>
                                      <a:pt x="561" y="178"/>
                                    </a:cubicBezTo>
                                    <a:cubicBezTo>
                                      <a:pt x="567" y="180"/>
                                      <a:pt x="573" y="181"/>
                                      <a:pt x="583" y="182"/>
                                    </a:cubicBezTo>
                                    <a:cubicBezTo>
                                      <a:pt x="593" y="182"/>
                                      <a:pt x="596" y="182"/>
                                      <a:pt x="621" y="182"/>
                                    </a:cubicBezTo>
                                    <a:cubicBezTo>
                                      <a:pt x="645" y="182"/>
                                      <a:pt x="648" y="182"/>
                                      <a:pt x="658" y="182"/>
                                    </a:cubicBezTo>
                                    <a:cubicBezTo>
                                      <a:pt x="668" y="181"/>
                                      <a:pt x="674" y="180"/>
                                      <a:pt x="680" y="178"/>
                                    </a:cubicBezTo>
                                    <a:cubicBezTo>
                                      <a:pt x="686" y="175"/>
                                      <a:pt x="691" y="172"/>
                                      <a:pt x="696" y="167"/>
                                    </a:cubicBezTo>
                                    <a:cubicBezTo>
                                      <a:pt x="701" y="162"/>
                                      <a:pt x="704" y="157"/>
                                      <a:pt x="706" y="151"/>
                                    </a:cubicBezTo>
                                    <a:cubicBezTo>
                                      <a:pt x="709" y="145"/>
                                      <a:pt x="710" y="139"/>
                                      <a:pt x="711" y="129"/>
                                    </a:cubicBezTo>
                                    <a:cubicBezTo>
                                      <a:pt x="711" y="119"/>
                                      <a:pt x="711" y="116"/>
                                      <a:pt x="711" y="92"/>
                                    </a:cubicBezTo>
                                    <a:cubicBezTo>
                                      <a:pt x="711" y="67"/>
                                      <a:pt x="711" y="64"/>
                                      <a:pt x="711" y="54"/>
                                    </a:cubicBezTo>
                                    <a:cubicBezTo>
                                      <a:pt x="710" y="45"/>
                                      <a:pt x="709" y="38"/>
                                      <a:pt x="706" y="32"/>
                                    </a:cubicBezTo>
                                    <a:cubicBezTo>
                                      <a:pt x="704" y="26"/>
                                      <a:pt x="701" y="21"/>
                                      <a:pt x="696" y="16"/>
                                    </a:cubicBezTo>
                                    <a:cubicBezTo>
                                      <a:pt x="691" y="11"/>
                                      <a:pt x="686" y="8"/>
                                      <a:pt x="680" y="6"/>
                                    </a:cubicBezTo>
                                    <a:cubicBezTo>
                                      <a:pt x="674" y="3"/>
                                      <a:pt x="668" y="2"/>
                                      <a:pt x="658" y="1"/>
                                    </a:cubicBezTo>
                                    <a:cubicBezTo>
                                      <a:pt x="648" y="1"/>
                                      <a:pt x="645" y="1"/>
                                      <a:pt x="621" y="1"/>
                                    </a:cubicBezTo>
                                    <a:moveTo>
                                      <a:pt x="621" y="45"/>
                                    </a:moveTo>
                                    <a:cubicBezTo>
                                      <a:pt x="595" y="45"/>
                                      <a:pt x="574" y="66"/>
                                      <a:pt x="574" y="92"/>
                                    </a:cubicBezTo>
                                    <a:cubicBezTo>
                                      <a:pt x="574" y="117"/>
                                      <a:pt x="595" y="138"/>
                                      <a:pt x="621" y="138"/>
                                    </a:cubicBezTo>
                                    <a:cubicBezTo>
                                      <a:pt x="646" y="138"/>
                                      <a:pt x="667" y="117"/>
                                      <a:pt x="667" y="92"/>
                                    </a:cubicBezTo>
                                    <a:cubicBezTo>
                                      <a:pt x="667" y="66"/>
                                      <a:pt x="646" y="45"/>
                                      <a:pt x="621" y="45"/>
                                    </a:cubicBezTo>
                                    <a:moveTo>
                                      <a:pt x="621" y="122"/>
                                    </a:moveTo>
                                    <a:cubicBezTo>
                                      <a:pt x="604" y="122"/>
                                      <a:pt x="590" y="108"/>
                                      <a:pt x="590" y="92"/>
                                    </a:cubicBezTo>
                                    <a:cubicBezTo>
                                      <a:pt x="590" y="75"/>
                                      <a:pt x="604" y="61"/>
                                      <a:pt x="621" y="61"/>
                                    </a:cubicBezTo>
                                    <a:cubicBezTo>
                                      <a:pt x="637" y="61"/>
                                      <a:pt x="651" y="75"/>
                                      <a:pt x="651" y="92"/>
                                    </a:cubicBezTo>
                                    <a:cubicBezTo>
                                      <a:pt x="651" y="108"/>
                                      <a:pt x="637" y="122"/>
                                      <a:pt x="621" y="122"/>
                                    </a:cubicBezTo>
                                    <a:moveTo>
                                      <a:pt x="680" y="43"/>
                                    </a:moveTo>
                                    <a:cubicBezTo>
                                      <a:pt x="680" y="37"/>
                                      <a:pt x="675" y="32"/>
                                      <a:pt x="669" y="32"/>
                                    </a:cubicBezTo>
                                    <a:cubicBezTo>
                                      <a:pt x="663" y="32"/>
                                      <a:pt x="658" y="37"/>
                                      <a:pt x="658" y="43"/>
                                    </a:cubicBezTo>
                                    <a:cubicBezTo>
                                      <a:pt x="658" y="49"/>
                                      <a:pt x="663" y="54"/>
                                      <a:pt x="669" y="54"/>
                                    </a:cubicBezTo>
                                    <a:cubicBezTo>
                                      <a:pt x="675" y="54"/>
                                      <a:pt x="680" y="49"/>
                                      <a:pt x="680" y="43"/>
                                    </a:cubicBezTo>
                                    <a:moveTo>
                                      <a:pt x="323" y="183"/>
                                    </a:moveTo>
                                    <a:cubicBezTo>
                                      <a:pt x="403" y="183"/>
                                      <a:pt x="448" y="116"/>
                                      <a:pt x="448" y="59"/>
                                    </a:cubicBezTo>
                                    <a:cubicBezTo>
                                      <a:pt x="448" y="57"/>
                                      <a:pt x="447" y="55"/>
                                      <a:pt x="447" y="53"/>
                                    </a:cubicBezTo>
                                    <a:cubicBezTo>
                                      <a:pt x="456" y="47"/>
                                      <a:pt x="463" y="39"/>
                                      <a:pt x="469" y="30"/>
                                    </a:cubicBezTo>
                                    <a:cubicBezTo>
                                      <a:pt x="461" y="34"/>
                                      <a:pt x="453" y="36"/>
                                      <a:pt x="444" y="37"/>
                                    </a:cubicBezTo>
                                    <a:cubicBezTo>
                                      <a:pt x="453" y="32"/>
                                      <a:pt x="460" y="23"/>
                                      <a:pt x="463" y="13"/>
                                    </a:cubicBezTo>
                                    <a:cubicBezTo>
                                      <a:pt x="455" y="18"/>
                                      <a:pt x="446" y="22"/>
                                      <a:pt x="436" y="24"/>
                                    </a:cubicBezTo>
                                    <a:cubicBezTo>
                                      <a:pt x="428" y="15"/>
                                      <a:pt x="416" y="10"/>
                                      <a:pt x="404" y="10"/>
                                    </a:cubicBezTo>
                                    <a:cubicBezTo>
                                      <a:pt x="379" y="10"/>
                                      <a:pt x="360" y="29"/>
                                      <a:pt x="360" y="53"/>
                                    </a:cubicBezTo>
                                    <a:cubicBezTo>
                                      <a:pt x="360" y="57"/>
                                      <a:pt x="360" y="60"/>
                                      <a:pt x="361" y="63"/>
                                    </a:cubicBezTo>
                                    <a:cubicBezTo>
                                      <a:pt x="325" y="62"/>
                                      <a:pt x="292" y="44"/>
                                      <a:pt x="271" y="18"/>
                                    </a:cubicBezTo>
                                    <a:cubicBezTo>
                                      <a:pt x="267" y="24"/>
                                      <a:pt x="265" y="32"/>
                                      <a:pt x="265" y="40"/>
                                    </a:cubicBezTo>
                                    <a:cubicBezTo>
                                      <a:pt x="265" y="55"/>
                                      <a:pt x="273" y="68"/>
                                      <a:pt x="284" y="76"/>
                                    </a:cubicBezTo>
                                    <a:cubicBezTo>
                                      <a:pt x="277" y="76"/>
                                      <a:pt x="270" y="74"/>
                                      <a:pt x="264" y="71"/>
                                    </a:cubicBezTo>
                                    <a:cubicBezTo>
                                      <a:pt x="264" y="71"/>
                                      <a:pt x="264" y="71"/>
                                      <a:pt x="264" y="71"/>
                                    </a:cubicBezTo>
                                    <a:cubicBezTo>
                                      <a:pt x="264" y="92"/>
                                      <a:pt x="280" y="110"/>
                                      <a:pt x="300" y="114"/>
                                    </a:cubicBezTo>
                                    <a:cubicBezTo>
                                      <a:pt x="296" y="115"/>
                                      <a:pt x="292" y="116"/>
                                      <a:pt x="288" y="116"/>
                                    </a:cubicBezTo>
                                    <a:cubicBezTo>
                                      <a:pt x="285" y="116"/>
                                      <a:pt x="282" y="115"/>
                                      <a:pt x="280" y="115"/>
                                    </a:cubicBezTo>
                                    <a:cubicBezTo>
                                      <a:pt x="285" y="132"/>
                                      <a:pt x="302" y="145"/>
                                      <a:pt x="321" y="145"/>
                                    </a:cubicBezTo>
                                    <a:cubicBezTo>
                                      <a:pt x="306" y="157"/>
                                      <a:pt x="287" y="164"/>
                                      <a:pt x="266" y="164"/>
                                    </a:cubicBezTo>
                                    <a:cubicBezTo>
                                      <a:pt x="263" y="164"/>
                                      <a:pt x="259" y="164"/>
                                      <a:pt x="256" y="163"/>
                                    </a:cubicBezTo>
                                    <a:cubicBezTo>
                                      <a:pt x="275" y="176"/>
                                      <a:pt x="298" y="183"/>
                                      <a:pt x="323" y="183"/>
                                    </a:cubicBezTo>
                                    <a:moveTo>
                                      <a:pt x="91" y="0"/>
                                    </a:moveTo>
                                    <a:cubicBezTo>
                                      <a:pt x="41" y="0"/>
                                      <a:pt x="0" y="41"/>
                                      <a:pt x="0" y="91"/>
                                    </a:cubicBezTo>
                                    <a:cubicBezTo>
                                      <a:pt x="0" y="137"/>
                                      <a:pt x="33" y="174"/>
                                      <a:pt x="77" y="181"/>
                                    </a:cubicBezTo>
                                    <a:cubicBezTo>
                                      <a:pt x="77" y="117"/>
                                      <a:pt x="77" y="117"/>
                                      <a:pt x="77" y="117"/>
                                    </a:cubicBezTo>
                                    <a:cubicBezTo>
                                      <a:pt x="54" y="117"/>
                                      <a:pt x="54" y="117"/>
                                      <a:pt x="54" y="117"/>
                                    </a:cubicBezTo>
                                    <a:cubicBezTo>
                                      <a:pt x="54" y="91"/>
                                      <a:pt x="54" y="91"/>
                                      <a:pt x="54" y="91"/>
                                    </a:cubicBezTo>
                                    <a:cubicBezTo>
                                      <a:pt x="77" y="91"/>
                                      <a:pt x="77" y="91"/>
                                      <a:pt x="77" y="91"/>
                                    </a:cubicBezTo>
                                    <a:cubicBezTo>
                                      <a:pt x="77" y="71"/>
                                      <a:pt x="77" y="71"/>
                                      <a:pt x="77" y="71"/>
                                    </a:cubicBezTo>
                                    <a:cubicBezTo>
                                      <a:pt x="77" y="48"/>
                                      <a:pt x="91" y="35"/>
                                      <a:pt x="112" y="35"/>
                                    </a:cubicBezTo>
                                    <a:cubicBezTo>
                                      <a:pt x="122" y="35"/>
                                      <a:pt x="132" y="37"/>
                                      <a:pt x="132" y="37"/>
                                    </a:cubicBezTo>
                                    <a:cubicBezTo>
                                      <a:pt x="132" y="60"/>
                                      <a:pt x="132" y="60"/>
                                      <a:pt x="132" y="60"/>
                                    </a:cubicBezTo>
                                    <a:cubicBezTo>
                                      <a:pt x="120" y="60"/>
                                      <a:pt x="120" y="60"/>
                                      <a:pt x="120" y="60"/>
                                    </a:cubicBezTo>
                                    <a:cubicBezTo>
                                      <a:pt x="109" y="60"/>
                                      <a:pt x="106" y="67"/>
                                      <a:pt x="106" y="74"/>
                                    </a:cubicBezTo>
                                    <a:cubicBezTo>
                                      <a:pt x="106" y="91"/>
                                      <a:pt x="106" y="91"/>
                                      <a:pt x="106" y="91"/>
                                    </a:cubicBezTo>
                                    <a:cubicBezTo>
                                      <a:pt x="131" y="91"/>
                                      <a:pt x="131" y="91"/>
                                      <a:pt x="131" y="91"/>
                                    </a:cubicBezTo>
                                    <a:cubicBezTo>
                                      <a:pt x="127" y="117"/>
                                      <a:pt x="127" y="117"/>
                                      <a:pt x="127" y="117"/>
                                    </a:cubicBezTo>
                                    <a:cubicBezTo>
                                      <a:pt x="106" y="117"/>
                                      <a:pt x="106" y="117"/>
                                      <a:pt x="106" y="117"/>
                                    </a:cubicBezTo>
                                    <a:cubicBezTo>
                                      <a:pt x="106" y="181"/>
                                      <a:pt x="106" y="181"/>
                                      <a:pt x="106" y="181"/>
                                    </a:cubicBezTo>
                                    <a:cubicBezTo>
                                      <a:pt x="149" y="174"/>
                                      <a:pt x="183" y="137"/>
                                      <a:pt x="183" y="91"/>
                                    </a:cubicBezTo>
                                    <a:cubicBezTo>
                                      <a:pt x="183" y="41"/>
                                      <a:pt x="142" y="0"/>
                                      <a:pt x="91" y="0"/>
                                    </a:cubicBezTo>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1950052B">
                    <v:shape id="Freeform: Shape 10" style="width:44.5pt;height:23.25pt;visibility:visible;mso-wrap-style:square;mso-left-percent:-10001;mso-top-percent:-10001;mso-position-horizontal:absolute;mso-position-horizontal-relative:char;mso-position-vertical:absolute;mso-position-vertical-relative:line;mso-left-percent:-10001;mso-top-percent:-10001;v-text-anchor:top" coordsize="711,362" o:spid="_x0000_s1026" fillcolor="#000100" stroked="f" path="m,315c,286,19,267,48,267v27,,47,16,47,49c95,332,89,344,77,344v-10,,-14,-5,-15,-16c59,334,53,339,44,339,30,339,20,328,20,315v,-13,10,-24,24,-24c53,291,59,296,62,302v,-10,,-10,,-10c69,292,69,292,69,292v,33,,33,,33c69,336,73,339,77,339v7,,11,-8,11,-23c88,286,72,273,48,273,22,273,6,289,6,315v,25,15,42,42,42c56,357,65,355,74,350v2,5,2,5,2,5c66,361,57,362,48,362,17,362,,343,,315t62,c62,305,55,297,44,297v-10,,-17,8,-17,18c27,325,34,333,44,333v11,,18,-8,18,-18m157,315v-43,,-43,,-43,c114,327,122,334,133,334v8,,14,-3,16,-9c157,325,157,325,157,325v-2,9,-12,16,-24,16c117,341,107,330,107,313v,-17,10,-28,26,-28c148,285,158,295,158,310v,2,,3,-1,5m150,309v,-11,-6,-18,-17,-18c122,291,115,298,114,309r36,xm173,340v8,,8,,8,c181,258,181,258,181,258v-8,,-8,,-8,l173,340xm247,315v-43,,-43,,-43,c204,327,211,334,223,334v8,,13,-3,16,-9c246,325,246,325,246,325v-2,9,-11,16,-23,16c207,341,196,330,196,313v,-17,11,-28,26,-28c237,285,247,295,247,310v,2,,3,,5m240,309v,-11,-7,-18,-18,-18c212,291,205,298,204,309r36,xm259,313v,17,10,28,26,28c299,341,308,333,310,322v-8,,-8,,-8,c301,330,295,334,285,334v-11,,-19,-8,-19,-21c266,300,274,292,285,292v10,,16,4,17,12c310,304,310,304,310,304v-2,-11,-11,-19,-25,-19c269,285,259,297,259,313t94,20c351,333,348,333,346,333v-6,,-10,-1,-10,-12c336,293,336,293,336,293v15,,15,,15,c351,286,351,286,351,286v-15,,-15,,-15,c336,269,336,269,336,269v-7,,-7,,-7,c329,286,329,286,329,286v-10,,-10,,-10,c319,293,319,293,319,293v10,,10,,10,c329,322,329,322,329,322v,17,9,18,15,18c347,340,351,340,353,339v,-6,,-6,,-6m363,269v,-4,3,-7,7,-7c374,262,377,265,377,269v,4,-3,7,-7,7c366,276,363,273,363,269t3,17c374,286,374,286,374,286v,54,,54,,54c366,340,366,340,366,340r,-54xm389,313v,-15,10,-28,27,-28c433,285,444,298,444,313v,15,-11,28,-28,28c399,341,389,328,389,313t47,c436,301,429,292,416,292v-12,,-20,9,-20,21c396,325,404,334,416,334v13,,20,-9,20,-21m459,340v8,,8,,8,c467,312,467,312,467,312v,-12,5,-20,17,-20c494,292,499,298,499,311v,29,,29,,29c507,340,507,340,507,340v,-32,,-32,,-32c507,293,500,285,487,285v-11,,-18,6,-20,14c467,286,467,286,467,286v-8,,-8,,-8,l459,340xm521,324v,9,8,17,22,17c555,341,563,335,563,325v,-6,-3,-12,-11,-14c538,308,538,308,538,308v-6,-2,-8,-5,-8,-8c530,294,536,291,542,291v8,,13,4,13,9c562,300,562,300,562,300v,-9,-7,-15,-20,-15c531,285,523,291,523,300v,6,3,12,11,14c549,317,549,317,549,317v5,1,7,5,7,9c556,332,550,335,543,335v-9,,-14,-5,-14,-11c521,324,521,324,521,324t74,16c601,340,601,340,601,340v24,-54,24,-54,24,-54c617,286,617,286,617,286v-19,44,-19,44,-19,44c579,286,579,286,579,286v-8,,-8,,-8,l595,340xm634,269v,-4,2,-7,7,-7c645,262,648,265,648,269v,4,-3,7,-7,7c636,276,634,273,634,269t3,17c644,286,644,286,644,286v,54,,54,,54c637,340,637,340,637,340r,-54xm659,313v,17,11,28,27,28c700,341,709,333,710,322v-7,,-7,,-7,c701,330,695,334,686,334v-12,,-19,-8,-19,-21c667,300,674,292,686,292v9,,15,4,17,12c710,304,710,304,710,304v-1,-11,-10,-19,-24,-19c670,285,659,297,659,313m621,17v24,,27,,36,1c666,18,671,20,674,21v4,2,7,4,10,7c688,31,690,34,691,38v1,3,3,8,3,17c695,65,695,67,695,92v,24,,27,-1,36c694,137,692,142,691,145v-1,4,-3,7,-7,11c681,159,678,161,674,162v-3,2,-8,3,-17,3c648,166,645,166,621,166v-25,,-28,,-37,-1c575,165,570,164,567,162v-4,-1,-7,-3,-10,-6c553,152,551,149,550,145v-1,-3,-3,-8,-3,-17c546,119,546,116,546,92v,-25,,-27,1,-37c547,46,549,41,550,38v1,-4,3,-7,7,-10c560,25,563,23,567,21v3,-1,8,-3,17,-3c593,17,596,17,621,17t,-16c596,1,593,1,583,1,573,2,567,3,561,6v-6,2,-11,5,-16,10c540,21,537,26,535,32v-3,6,-4,13,-5,22c530,64,530,67,530,92v,24,,27,,37c531,139,532,145,535,151v2,6,5,11,10,16c550,172,555,175,561,178v6,2,12,3,22,4c593,182,596,182,621,182v24,,27,,37,c668,181,674,180,680,178v6,-3,11,-6,16,-11c701,162,704,157,706,151v3,-6,4,-12,5,-22c711,119,711,116,711,92v,-25,,-28,,-38c710,45,709,38,706,32,704,26,701,21,696,16,691,11,686,8,680,6,674,3,668,2,658,1v-10,,-13,,-37,m621,45v-26,,-47,21,-47,47c574,117,595,138,621,138v25,,46,-21,46,-46c667,66,646,45,621,45t,77c604,122,590,108,590,92v,-17,14,-31,31,-31c637,61,651,75,651,92v,16,-14,30,-30,30m680,43v,-6,-5,-11,-11,-11c663,32,658,37,658,43v,6,5,11,11,11c675,54,680,49,680,43m323,183v80,,125,-67,125,-124c448,57,447,55,447,53v9,-6,16,-14,22,-23c461,34,453,36,444,37v9,-5,16,-14,19,-24c455,18,446,22,436,24,428,15,416,10,404,10v-25,,-44,19,-44,43c360,57,360,60,361,63,325,62,292,44,271,18v-4,6,-6,14,-6,22c265,55,273,68,284,76v-7,,-14,-2,-20,-5c264,71,264,71,264,71v,21,16,39,36,43c296,115,292,116,288,116v-3,,-6,-1,-8,-1c285,132,302,145,321,145v-15,12,-34,19,-55,19c263,164,259,164,256,163v19,13,42,20,67,20m91,c41,,,41,,91v,46,33,83,77,90c77,117,77,117,77,117v-23,,-23,,-23,c54,91,54,91,54,91v23,,23,,23,c77,71,77,71,77,71,77,48,91,35,112,35v10,,20,2,20,2c132,60,132,60,132,60v-12,,-12,,-12,c109,60,106,67,106,74v,17,,17,,17c131,91,131,91,131,91v-4,26,-4,26,-4,26c106,117,106,117,106,117v,64,,64,,64c149,174,183,137,183,91,183,41,142,,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" w14:anchorId="2429C5A1">
                      <v:path arrowok="t" o:connecttype="custom" o:connectlocs="39172605,218436615;39172605,194461426;30327332,181807832;30327332,241078987;27799657,221766207;94140000,216438206;99826474,206448613;94771919,205783020;109303666,226427800;155425788,216438206;156057707,209779021;163639143,208447021;168061779,208447021;163639143,208447021;221766132,195127834;207866303,190465426;217343495,226427800;238193635,179144648;236297879,226427800;280525040,208447021;250197708,208447021;295056787,207780613;320328769,205116612;290002232,226427800;339915071,205116612;342442746,189799834;343073870,223098207;394882466,190465426;375928083,226427800;400568941,179144648;402464697,190465426;433423153,222431799;433423153,189799834;432160110,18647187;436582747,96564713;368978566,109883900;344969627,61268747;368978566,11987186;344337708,10655186;338020110,100560714;415732607,121205493;449218738,61268747;415732607,665592;421419081,61268747;411309970,61268747;422682918,35962374;296319830,19979187;227452606,35295966;166798737,47283152;202811748,96564713;0,60602339;48649797,60602339;75817535,39957559;66972262,77917526" o:connectangles="0,0,0,0,0,0,0,0,0,0,0,0,0,0,0,0,0,0,0,0,0,0,0,0,0,0,0,0,0,0,0,0,0,0,0,0,0,0,0,0,0,0,0,0,0,0,0,0,0,0,0,0,0,0"/>
                      <o:lock v:ext="edit" verticies="t"/>
                      <w10:anchorlock/>
                    </v:shape>
                  </w:pict>
                </mc:Fallback>
              </mc:AlternateContent>
            </w:r>
          </w:p>
        </w:tc>
      </w:tr>
    </w:tbl>
    <w:p w14:paraId="496C537C" w14:textId="77777777" w:rsidR="007E7FE1" w:rsidRPr="00AC5FFA" w:rsidRDefault="007E7FE1" w:rsidP="00FD162F">
      <w:pPr>
        <w:pStyle w:val="Blankpagenote"/>
        <w:jc w:val="left"/>
        <w:rPr>
          <w:highlight w:val="yellow"/>
        </w:rPr>
      </w:pPr>
    </w:p>
    <w:p w14:paraId="5BCBA95E" w14:textId="77777777" w:rsidR="007E7FE1" w:rsidRPr="00AC5FFA" w:rsidRDefault="007E7FE1" w:rsidP="003F7134">
      <w:pPr>
        <w:pStyle w:val="Blankpagenote"/>
      </w:pPr>
      <w:r w:rsidRPr="00AC5FFA">
        <w:rPr>
          <w:noProof/>
        </w:rPr>
        <w:lastRenderedPageBreak/>
        <w:drawing>
          <wp:anchor distT="0" distB="0" distL="114300" distR="114300" simplePos="0" relativeHeight="251664384" behindDoc="0" locked="0" layoutInCell="1" allowOverlap="1" wp14:anchorId="2C7EBF81" wp14:editId="15858F15">
            <wp:simplePos x="0" y="0"/>
            <wp:positionH relativeFrom="page">
              <wp:align>left</wp:align>
            </wp:positionH>
            <wp:positionV relativeFrom="page">
              <wp:align>bottom</wp:align>
            </wp:positionV>
            <wp:extent cx="7592400" cy="10735200"/>
            <wp:effectExtent l="0" t="0" r="889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bdivision review back cover_Page_2.png"/>
                    <pic:cNvPicPr/>
                  </pic:nvPicPr>
                  <pic:blipFill>
                    <a:blip r:embed="rId31">
                      <a:extLst>
                        <a:ext uri="{28A0092B-C50C-407E-A947-70E740481C1C}">
                          <a14:useLocalDpi xmlns:a14="http://schemas.microsoft.com/office/drawing/2010/main" val="0"/>
                        </a:ext>
                      </a:extLst>
                    </a:blip>
                    <a:stretch>
                      <a:fillRect/>
                    </a:stretch>
                  </pic:blipFill>
                  <pic:spPr>
                    <a:xfrm>
                      <a:off x="0" y="0"/>
                      <a:ext cx="7592400" cy="10735200"/>
                    </a:xfrm>
                    <a:prstGeom prst="rect">
                      <a:avLst/>
                    </a:prstGeom>
                  </pic:spPr>
                </pic:pic>
              </a:graphicData>
            </a:graphic>
            <wp14:sizeRelH relativeFrom="page">
              <wp14:pctWidth>0</wp14:pctWidth>
            </wp14:sizeRelH>
            <wp14:sizeRelV relativeFrom="page">
              <wp14:pctHeight>0</wp14:pctHeight>
            </wp14:sizeRelV>
          </wp:anchor>
        </w:drawing>
      </w:r>
    </w:p>
    <w:p w14:paraId="2F2D5583" w14:textId="77777777" w:rsidR="007E7FE1" w:rsidRPr="00AC5FFA" w:rsidRDefault="007E7FE1" w:rsidP="003C440B">
      <w:pPr>
        <w:pStyle w:val="Blankpagenote"/>
        <w:jc w:val="left"/>
      </w:pPr>
    </w:p>
    <w:p w14:paraId="79365EAC" w14:textId="77777777" w:rsidR="007E7FE1" w:rsidRPr="00AC5FFA" w:rsidRDefault="007E7FE1" w:rsidP="003C440B">
      <w:pPr>
        <w:rPr>
          <w:rFonts w:ascii="Century Gothic" w:hAnsi="Century Gothic"/>
        </w:rPr>
      </w:pPr>
    </w:p>
    <w:p w14:paraId="35DAF5C1" w14:textId="77777777" w:rsidR="007E7FE1" w:rsidRPr="00AC5FFA" w:rsidRDefault="007E7FE1" w:rsidP="00441D9B">
      <w:pPr>
        <w:rPr>
          <w:rFonts w:ascii="Century Gothic" w:hAnsi="Century Gothic"/>
        </w:rPr>
      </w:pPr>
    </w:p>
    <w:p w14:paraId="2C12BDF6" w14:textId="77777777" w:rsidR="007E7FE1" w:rsidRDefault="007E7FE1" w:rsidP="008B4106">
      <w:pPr>
        <w:pStyle w:val="BodyText"/>
        <w:sectPr w:rsidR="007E7FE1" w:rsidSect="00077E48">
          <w:headerReference w:type="first" r:id="rId32"/>
          <w:pgSz w:w="11906" w:h="16838" w:code="9"/>
          <w:pgMar w:top="1440" w:right="1021" w:bottom="1134" w:left="1440" w:header="709" w:footer="709" w:gutter="0"/>
          <w:cols w:space="708"/>
          <w:titlePg/>
          <w:docGrid w:linePitch="360"/>
        </w:sectPr>
      </w:pPr>
    </w:p>
    <w:p w14:paraId="660E5FD4" w14:textId="77777777" w:rsidR="007E7FE1" w:rsidRPr="00AC5FFA" w:rsidRDefault="007E7FE1" w:rsidP="008B4106">
      <w:pPr>
        <w:pStyle w:val="BodyText"/>
      </w:pPr>
    </w:p>
    <w:sectPr w:rsidR="007E7FE1" w:rsidRPr="00AC5FFA" w:rsidSect="007E7FE1">
      <w:headerReference w:type="first" r:id="rId33"/>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0DB38" w14:textId="77777777" w:rsidR="00D51009" w:rsidRDefault="00D51009" w:rsidP="001375B0">
      <w:r>
        <w:separator/>
      </w:r>
    </w:p>
  </w:endnote>
  <w:endnote w:type="continuationSeparator" w:id="0">
    <w:p w14:paraId="509FCF05" w14:textId="77777777" w:rsidR="00D51009" w:rsidRDefault="00D51009"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panose1 w:val="020B0602030503020204"/>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11926" w14:textId="77777777" w:rsidR="00DB0E6B" w:rsidRDefault="00DB0E6B">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94B67" w14:textId="27E8CE90" w:rsidR="00DB0E6B" w:rsidRDefault="00DB0E6B"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rsidRPr="004A0E90">
      <w:fldChar w:fldCharType="begin"/>
    </w:r>
    <w:r w:rsidRPr="004A0E90">
      <w:instrText xml:space="preserve"> PAGEREF  lastpage \# "0"  \* MERGEFORMAT </w:instrText>
    </w:r>
    <w:r w:rsidRPr="004A0E90">
      <w:fldChar w:fldCharType="separate"/>
    </w:r>
    <w:r w:rsidR="00B33B7D" w:rsidRPr="00B33B7D">
      <w:rPr>
        <w:noProof/>
        <w:lang w:val="en-US"/>
      </w:rPr>
      <w:t>29</w:t>
    </w:r>
    <w:r w:rsidRPr="004A0E9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5067" w14:textId="3372D0A2" w:rsidR="00DB0E6B" w:rsidRPr="00DE1C25" w:rsidRDefault="00DB0E6B"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rsidRPr="004A0E90">
      <w:fldChar w:fldCharType="begin"/>
    </w:r>
    <w:r w:rsidRPr="004A0E90">
      <w:instrText xml:space="preserve"> PAGEREF  lastpage \# "0"  \* MERGEFORMAT </w:instrText>
    </w:r>
    <w:r w:rsidRPr="004A0E90">
      <w:fldChar w:fldCharType="separate"/>
    </w:r>
    <w:r w:rsidR="00B33B7D" w:rsidRPr="00B33B7D">
      <w:rPr>
        <w:noProof/>
        <w:lang w:val="en-US"/>
      </w:rPr>
      <w:t>29</w:t>
    </w:r>
    <w:r w:rsidRPr="004A0E9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6077E" w14:textId="77777777" w:rsidR="00DB0E6B" w:rsidRPr="005D6CFA" w:rsidRDefault="00DB0E6B"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D9517F">
      <w:rPr>
        <w:b/>
        <w:bCs/>
        <w:noProof/>
        <w:lang w:val="en-US"/>
      </w:rPr>
      <w:t>15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81BD7" w14:textId="77777777" w:rsidR="00DB0E6B" w:rsidRPr="00470B7A" w:rsidRDefault="00DB0E6B"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E4C17" w14:textId="77777777" w:rsidR="00DB0E6B" w:rsidRPr="00470B7A" w:rsidRDefault="00DB0E6B"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87367" w14:textId="77777777" w:rsidR="00DB0E6B" w:rsidRPr="00DC36B2" w:rsidRDefault="00DB0E6B" w:rsidP="00DC3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40389" w14:textId="77777777" w:rsidR="00D51009" w:rsidRDefault="00D51009" w:rsidP="001375B0">
      <w:r>
        <w:separator/>
      </w:r>
    </w:p>
  </w:footnote>
  <w:footnote w:type="continuationSeparator" w:id="0">
    <w:p w14:paraId="2D498A33" w14:textId="77777777" w:rsidR="00D51009" w:rsidRDefault="00D51009" w:rsidP="001375B0">
      <w:r>
        <w:continuationSeparator/>
      </w:r>
    </w:p>
  </w:footnote>
  <w:footnote w:id="1">
    <w:p w14:paraId="1EC33327" w14:textId="77777777" w:rsidR="00DB0E6B" w:rsidRPr="00DC3747" w:rsidRDefault="00DB0E6B"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219</w:t>
      </w:r>
      <w:r>
        <w:rPr>
          <w:rFonts w:ascii="Century Gothic" w:hAnsi="Century Gothic"/>
          <w:lang w:val="en-US"/>
        </w:rPr>
        <w:t>H</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2">
    <w:p w14:paraId="418E14AB" w14:textId="77777777" w:rsidR="00DB0E6B" w:rsidRPr="00DC3747" w:rsidRDefault="00DB0E6B"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w:t>
      </w:r>
      <w:r>
        <w:rPr>
          <w:rFonts w:ascii="Century Gothic" w:hAnsi="Century Gothic"/>
          <w:lang w:val="en-US"/>
        </w:rPr>
        <w:t>9L</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3">
    <w:p w14:paraId="02BBB220" w14:textId="77777777" w:rsidR="00DB0E6B" w:rsidRPr="00DC3747" w:rsidRDefault="00DB0E6B"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219</w:t>
      </w:r>
      <w:r>
        <w:rPr>
          <w:rFonts w:ascii="Century Gothic" w:hAnsi="Century Gothic"/>
          <w:lang w:val="en-US"/>
        </w:rPr>
        <w:t>L</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4">
    <w:p w14:paraId="75AD2C78" w14:textId="77777777" w:rsidR="00DB0E6B" w:rsidRPr="00505F99" w:rsidRDefault="00DB0E6B" w:rsidP="00F8244B">
      <w:pPr>
        <w:pStyle w:val="FootnoteText"/>
        <w:rPr>
          <w:rFonts w:ascii="Century Gothic" w:hAnsi="Century Gothic"/>
          <w:lang w:val="en-US"/>
        </w:rPr>
      </w:pPr>
      <w:r w:rsidRPr="00505F99">
        <w:rPr>
          <w:rStyle w:val="FootnoteReference"/>
          <w:rFonts w:ascii="Century Gothic" w:hAnsi="Century Gothic"/>
        </w:rPr>
        <w:footnoteRef/>
      </w:r>
      <w:r w:rsidRPr="00505F99">
        <w:rPr>
          <w:rFonts w:ascii="Century Gothic" w:hAnsi="Century Gothic"/>
        </w:rPr>
        <w:t xml:space="preserve"> </w:t>
      </w:r>
      <w:r w:rsidRPr="00505F99">
        <w:rPr>
          <w:rFonts w:ascii="Century Gothic" w:hAnsi="Century Gothic"/>
          <w:lang w:val="en-US"/>
        </w:rPr>
        <w:t>.id is a consulting company specialising in population and demographic analysis and prediction information products in most jurisdictions in Australia and New Zealand.</w:t>
      </w:r>
    </w:p>
  </w:footnote>
  <w:footnote w:id="5">
    <w:p w14:paraId="0F8FF64E" w14:textId="77777777" w:rsidR="00DB0E6B" w:rsidRPr="00EC230C" w:rsidRDefault="00DB0E6B" w:rsidP="004462D0">
      <w:pPr>
        <w:pStyle w:val="FootnoteText"/>
        <w:rPr>
          <w:rFonts w:ascii="Century Gothic" w:hAnsi="Century Gothic"/>
          <w:highlight w:val="yellow"/>
          <w:lang w:val="en-US"/>
        </w:rPr>
      </w:pPr>
      <w:r w:rsidRPr="00B078DC">
        <w:rPr>
          <w:rStyle w:val="FootnoteReference"/>
          <w:rFonts w:ascii="Century Gothic" w:hAnsi="Century Gothic"/>
        </w:rPr>
        <w:footnoteRef/>
      </w:r>
      <w:r w:rsidRPr="00B078DC">
        <w:rPr>
          <w:rFonts w:ascii="Century Gothic" w:hAnsi="Century Gothic"/>
          <w:color w:val="000000"/>
          <w:lang w:val="en-US"/>
        </w:rPr>
        <w:t xml:space="preserve"> </w:t>
      </w:r>
      <w:r w:rsidRPr="00B078DC">
        <w:rPr>
          <w:rFonts w:ascii="Century Gothic" w:hAnsi="Century Gothic"/>
        </w:rPr>
        <w:t xml:space="preserve">.id, ‘City of Hume, SEIFA by profile area’, </w:t>
      </w:r>
      <w:hyperlink r:id="rId1" w:history="1">
        <w:r w:rsidRPr="00B078DC">
          <w:rPr>
            <w:rStyle w:val="Hyperlink"/>
            <w:rFonts w:ascii="Century Gothic" w:hAnsi="Century Gothic"/>
          </w:rPr>
          <w:t>https://profile.id.com.au/hume/seifa-disadvantage-small-area</w:t>
        </w:r>
      </w:hyperlink>
      <w:r w:rsidRPr="00B078DC">
        <w:rPr>
          <w:rFonts w:ascii="Century Gothic" w:hAnsi="Century Gothic"/>
        </w:rPr>
        <w:t xml:space="preserve">, </w:t>
      </w:r>
      <w:r w:rsidRPr="00B078DC">
        <w:rPr>
          <w:rFonts w:ascii="Century Gothic" w:hAnsi="Century Gothic"/>
          <w:color w:val="000000"/>
          <w:lang w:val="en-US"/>
        </w:rPr>
        <w:t xml:space="preserve">accessed </w:t>
      </w:r>
      <w:r w:rsidRPr="00833E81">
        <w:rPr>
          <w:rFonts w:ascii="Century Gothic" w:hAnsi="Century Gothic"/>
          <w:color w:val="000000"/>
          <w:lang w:val="en-US"/>
        </w:rPr>
        <w:t>7 April 2020.</w:t>
      </w:r>
      <w:r w:rsidRPr="00EC230C">
        <w:rPr>
          <w:rFonts w:ascii="Century Gothic" w:hAnsi="Century Gothic"/>
          <w:color w:val="000000"/>
          <w:highlight w:val="yellow"/>
          <w:lang w:val="en-US"/>
        </w:rPr>
        <w:t xml:space="preserve"> </w:t>
      </w:r>
    </w:p>
  </w:footnote>
  <w:footnote w:id="6">
    <w:p w14:paraId="20E8B85F" w14:textId="77777777" w:rsidR="00DB0E6B" w:rsidRPr="00607E95" w:rsidRDefault="00DB0E6B" w:rsidP="004462D0">
      <w:pPr>
        <w:pStyle w:val="FootnoteText"/>
        <w:rPr>
          <w:rFonts w:ascii="Century Gothic" w:hAnsi="Century Gothic"/>
        </w:rPr>
      </w:pPr>
      <w:r w:rsidRPr="00607E95">
        <w:rPr>
          <w:rStyle w:val="FootnoteReference"/>
          <w:rFonts w:ascii="Century Gothic" w:hAnsi="Century Gothic"/>
        </w:rPr>
        <w:footnoteRef/>
      </w:r>
      <w:r w:rsidRPr="00607E95">
        <w:rPr>
          <w:rFonts w:ascii="Century Gothic" w:hAnsi="Century Gothic"/>
        </w:rPr>
        <w:t xml:space="preserve"> </w:t>
      </w:r>
      <w:r w:rsidRPr="00607E95">
        <w:rPr>
          <w:rFonts w:ascii="Century Gothic" w:hAnsi="Century Gothic"/>
          <w:color w:val="000000"/>
          <w:lang w:val="en-US"/>
        </w:rPr>
        <w:t xml:space="preserve">Australian Bureau of Statistics, ‘2016 Census QuickStats: Hume (C)’, </w:t>
      </w:r>
      <w:hyperlink r:id="rId2" w:history="1">
        <w:r w:rsidRPr="00607E95">
          <w:rPr>
            <w:rStyle w:val="Hyperlink"/>
            <w:rFonts w:ascii="Century Gothic" w:hAnsi="Century Gothic"/>
          </w:rPr>
          <w:t>https://quickstats.censusdata.abs.gov.au/census_services/getproduct/census/2016/quickstat/LGA23270?opendocument</w:t>
        </w:r>
      </w:hyperlink>
      <w:r w:rsidRPr="00607E95">
        <w:rPr>
          <w:rFonts w:ascii="Century Gothic" w:hAnsi="Century Gothic"/>
        </w:rPr>
        <w:t xml:space="preserve">, </w:t>
      </w:r>
      <w:r w:rsidRPr="00833E81">
        <w:rPr>
          <w:rFonts w:ascii="Century Gothic" w:hAnsi="Century Gothic"/>
        </w:rPr>
        <w:t xml:space="preserve">accessed </w:t>
      </w:r>
      <w:r w:rsidRPr="00833E81">
        <w:rPr>
          <w:rFonts w:ascii="Century Gothic" w:hAnsi="Century Gothic"/>
          <w:color w:val="000000"/>
          <w:lang w:val="en-US"/>
        </w:rPr>
        <w:t>7 April 2020.</w:t>
      </w:r>
      <w:r w:rsidRPr="00607E95">
        <w:rPr>
          <w:rFonts w:ascii="Century Gothic" w:hAnsi="Century Gothic"/>
          <w:color w:val="000000"/>
          <w:lang w:val="en-US"/>
        </w:rPr>
        <w:t xml:space="preserve"> See also: </w:t>
      </w:r>
      <w:r w:rsidRPr="00607E95">
        <w:rPr>
          <w:rFonts w:ascii="Century Gothic" w:hAnsi="Century Gothic"/>
          <w:color w:val="000000"/>
        </w:rPr>
        <w:t>‘2016 Census QuickStats: Greater Melbourne’ and ‘2016 Census QuickStats: Rest of VIC’.</w:t>
      </w:r>
    </w:p>
  </w:footnote>
  <w:footnote w:id="7">
    <w:p w14:paraId="1AF5EA88" w14:textId="77777777" w:rsidR="00DB0E6B" w:rsidRPr="00607E95" w:rsidRDefault="00DB0E6B" w:rsidP="004462D0">
      <w:pPr>
        <w:pStyle w:val="FootnoteText"/>
        <w:rPr>
          <w:rFonts w:ascii="Century Gothic" w:hAnsi="Century Gothic"/>
          <w:highlight w:val="yellow"/>
          <w:lang w:val="en-US"/>
        </w:rPr>
      </w:pPr>
      <w:r w:rsidRPr="00DD1237">
        <w:rPr>
          <w:rStyle w:val="FootnoteReference"/>
          <w:rFonts w:ascii="Century Gothic" w:hAnsi="Century Gothic"/>
        </w:rPr>
        <w:footnoteRef/>
      </w:r>
      <w:r w:rsidRPr="00DD1237">
        <w:rPr>
          <w:rFonts w:ascii="Century Gothic" w:hAnsi="Century Gothic"/>
        </w:rPr>
        <w:t xml:space="preserve"> .id, ‘Hume City: Population highlights’, </w:t>
      </w:r>
      <w:hyperlink r:id="rId3" w:history="1">
        <w:r w:rsidRPr="00DD1237">
          <w:rPr>
            <w:rStyle w:val="Hyperlink"/>
            <w:rFonts w:ascii="Century Gothic" w:hAnsi="Century Gothic"/>
          </w:rPr>
          <w:t>https://profile.id.com.au/hume/highlights-2016</w:t>
        </w:r>
      </w:hyperlink>
      <w:r w:rsidRPr="00DD1237">
        <w:rPr>
          <w:rFonts w:ascii="Century Gothic" w:hAnsi="Century Gothic"/>
        </w:rPr>
        <w:t>,</w:t>
      </w:r>
      <w:r w:rsidRPr="00DD1237">
        <w:rPr>
          <w:rFonts w:ascii="Century Gothic" w:hAnsi="Century Gothic"/>
          <w:lang w:val="en-US"/>
        </w:rPr>
        <w:t xml:space="preserve"> accessed </w:t>
      </w:r>
      <w:r w:rsidRPr="00833E81">
        <w:rPr>
          <w:rFonts w:ascii="Century Gothic" w:hAnsi="Century Gothic"/>
          <w:color w:val="000000"/>
          <w:lang w:val="en-US"/>
        </w:rPr>
        <w:t>7 April 2020</w:t>
      </w:r>
      <w:r w:rsidRPr="00833E81">
        <w:rPr>
          <w:rFonts w:ascii="Century Gothic" w:hAnsi="Century Gothic"/>
          <w:lang w:val="en-US"/>
        </w:rPr>
        <w:t>.</w:t>
      </w:r>
    </w:p>
  </w:footnote>
  <w:footnote w:id="8">
    <w:p w14:paraId="67332AF6" w14:textId="77777777" w:rsidR="00DB0E6B" w:rsidRPr="00607E95" w:rsidRDefault="00DB0E6B" w:rsidP="004462D0">
      <w:pPr>
        <w:pStyle w:val="FootnoteText"/>
        <w:rPr>
          <w:rFonts w:ascii="Century Gothic" w:hAnsi="Century Gothic"/>
          <w:lang w:val="en-US"/>
        </w:rPr>
      </w:pPr>
      <w:r w:rsidRPr="00607E95">
        <w:rPr>
          <w:rStyle w:val="FootnoteReference"/>
          <w:rFonts w:ascii="Century Gothic" w:hAnsi="Century Gothic"/>
        </w:rPr>
        <w:footnoteRef/>
      </w:r>
      <w:r w:rsidRPr="00607E95">
        <w:rPr>
          <w:rFonts w:ascii="Century Gothic" w:hAnsi="Century Gothic"/>
        </w:rPr>
        <w:t xml:space="preserve"> </w:t>
      </w:r>
      <w:r w:rsidRPr="00607E95">
        <w:rPr>
          <w:rFonts w:ascii="Century Gothic" w:hAnsi="Century Gothic"/>
          <w:color w:val="000000"/>
          <w:lang w:val="en-US"/>
        </w:rPr>
        <w:t>Australian Bureau of Statistics, ‘2016 Census QuickStats: Hume (C)’, loc. cit.</w:t>
      </w:r>
    </w:p>
  </w:footnote>
  <w:footnote w:id="9">
    <w:p w14:paraId="31040B1E" w14:textId="77777777" w:rsidR="00DB0E6B" w:rsidRPr="00607E95" w:rsidRDefault="00DB0E6B" w:rsidP="004462D0">
      <w:pPr>
        <w:pStyle w:val="FootnoteText"/>
        <w:rPr>
          <w:rFonts w:ascii="Century Gothic" w:hAnsi="Century Gothic"/>
          <w:lang w:val="en-US"/>
        </w:rPr>
      </w:pPr>
      <w:r w:rsidRPr="00607E95">
        <w:rPr>
          <w:rStyle w:val="FootnoteReference"/>
          <w:rFonts w:ascii="Century Gothic" w:hAnsi="Century Gothic"/>
        </w:rPr>
        <w:footnoteRef/>
      </w:r>
      <w:r w:rsidRPr="00607E95">
        <w:rPr>
          <w:rFonts w:ascii="Century Gothic" w:hAnsi="Century Gothic"/>
        </w:rPr>
        <w:t xml:space="preserve"> </w:t>
      </w:r>
      <w:r>
        <w:rPr>
          <w:rFonts w:ascii="Century Gothic" w:hAnsi="Century Gothic"/>
          <w:color w:val="000000"/>
          <w:lang w:val="en-US"/>
        </w:rPr>
        <w:t>Ibid</w:t>
      </w:r>
      <w:r w:rsidRPr="00607E95">
        <w:rPr>
          <w:rFonts w:ascii="Century Gothic" w:hAnsi="Century Gothic"/>
          <w:color w:val="000000"/>
          <w:lang w:val="en-US"/>
        </w:rPr>
        <w:t>.</w:t>
      </w:r>
    </w:p>
  </w:footnote>
  <w:footnote w:id="10">
    <w:p w14:paraId="032B3905" w14:textId="77777777" w:rsidR="00DB0E6B" w:rsidRPr="00607E95" w:rsidRDefault="00DB0E6B" w:rsidP="004462D0">
      <w:pPr>
        <w:pStyle w:val="FootnoteText"/>
        <w:rPr>
          <w:rFonts w:ascii="Century Gothic" w:hAnsi="Century Gothic"/>
          <w:lang w:val="en-US"/>
        </w:rPr>
      </w:pPr>
      <w:r w:rsidRPr="00D60988">
        <w:rPr>
          <w:rStyle w:val="FootnoteReference"/>
          <w:rFonts w:ascii="Century Gothic" w:hAnsi="Century Gothic"/>
        </w:rPr>
        <w:footnoteRef/>
      </w:r>
      <w:r w:rsidRPr="00D60988">
        <w:rPr>
          <w:rFonts w:ascii="Century Gothic" w:hAnsi="Century Gothic"/>
        </w:rPr>
        <w:t xml:space="preserve"> </w:t>
      </w:r>
      <w:r w:rsidRPr="00D60988">
        <w:rPr>
          <w:rFonts w:ascii="Century Gothic" w:hAnsi="Century Gothic"/>
          <w:color w:val="000000"/>
        </w:rPr>
        <w:t xml:space="preserve">Aboriginal Victoria, ‘Acknowledgement of Traditional Owners’, </w:t>
      </w:r>
      <w:hyperlink r:id="rId4" w:history="1">
        <w:r w:rsidRPr="00D60988">
          <w:rPr>
            <w:rStyle w:val="Hyperlink"/>
            <w:rFonts w:ascii="Century Gothic" w:hAnsi="Century Gothic"/>
          </w:rPr>
          <w:t>https://www.aboriginalvictoria.vic.gov.au/acknowledgement-traditional-owners</w:t>
        </w:r>
      </w:hyperlink>
      <w:r w:rsidRPr="00D60988">
        <w:rPr>
          <w:rFonts w:ascii="Century Gothic" w:hAnsi="Century Gothic"/>
          <w:color w:val="000000"/>
        </w:rPr>
        <w:t xml:space="preserve">, accessed </w:t>
      </w:r>
      <w:r w:rsidRPr="00D60988">
        <w:rPr>
          <w:rFonts w:ascii="Century Gothic" w:hAnsi="Century Gothic"/>
          <w:color w:val="000000"/>
          <w:lang w:val="en-US"/>
        </w:rPr>
        <w:t>4 February 2020</w:t>
      </w:r>
      <w:r w:rsidRPr="00D60988">
        <w:rPr>
          <w:rFonts w:ascii="Century Gothic" w:hAnsi="Century Gothic"/>
          <w:color w:val="000000"/>
        </w:rPr>
        <w:t xml:space="preserve">. See also Hume City Council, ‘Aboriginal and Torres Strait Islander Peoples’, </w:t>
      </w:r>
      <w:hyperlink r:id="rId5" w:history="1">
        <w:r w:rsidRPr="00D60988">
          <w:rPr>
            <w:rStyle w:val="Hyperlink"/>
            <w:rFonts w:ascii="Century Gothic" w:hAnsi="Century Gothic"/>
          </w:rPr>
          <w:t>https://www.hume.vic.gov.au/Services_For_You/Other_Services/Aboriginal_and_Torres_Strait_Islander_peoples</w:t>
        </w:r>
      </w:hyperlink>
      <w:r w:rsidRPr="00D60988">
        <w:rPr>
          <w:rFonts w:ascii="Century Gothic" w:hAnsi="Century Gothic"/>
          <w:color w:val="000000"/>
        </w:rPr>
        <w:t xml:space="preserve">, </w:t>
      </w:r>
      <w:r w:rsidRPr="00833E81">
        <w:rPr>
          <w:rFonts w:ascii="Century Gothic" w:hAnsi="Century Gothic"/>
          <w:color w:val="000000"/>
        </w:rPr>
        <w:t xml:space="preserve">accessed </w:t>
      </w:r>
      <w:r w:rsidRPr="00833E81">
        <w:rPr>
          <w:rFonts w:ascii="Century Gothic" w:hAnsi="Century Gothic"/>
          <w:color w:val="000000"/>
          <w:lang w:val="en-US"/>
        </w:rPr>
        <w:t>7 April 2020</w:t>
      </w:r>
      <w:r w:rsidRPr="00833E81">
        <w:rPr>
          <w:rFonts w:ascii="Century Gothic" w:hAnsi="Century Gothic"/>
          <w:color w:val="000000"/>
        </w:rPr>
        <w:t>.</w:t>
      </w:r>
    </w:p>
  </w:footnote>
  <w:footnote w:id="11">
    <w:p w14:paraId="2C37345B" w14:textId="77777777" w:rsidR="00DB0E6B" w:rsidRPr="00214239" w:rsidRDefault="00DB0E6B" w:rsidP="004462D0">
      <w:pPr>
        <w:pStyle w:val="FootnoteText"/>
        <w:rPr>
          <w:rFonts w:ascii="Century Gothic" w:hAnsi="Century Gothic"/>
          <w:lang w:val="en-US"/>
        </w:rPr>
      </w:pPr>
      <w:r w:rsidRPr="00214239">
        <w:rPr>
          <w:rStyle w:val="FootnoteReference"/>
          <w:rFonts w:ascii="Century Gothic" w:hAnsi="Century Gothic"/>
        </w:rPr>
        <w:footnoteRef/>
      </w:r>
      <w:r w:rsidRPr="00214239">
        <w:rPr>
          <w:rFonts w:ascii="Century Gothic" w:hAnsi="Century Gothic"/>
        </w:rPr>
        <w:t xml:space="preserve"> </w:t>
      </w:r>
      <w:r w:rsidRPr="00214239">
        <w:rPr>
          <w:rFonts w:ascii="Century Gothic" w:hAnsi="Century Gothic"/>
          <w:color w:val="000000"/>
          <w:lang w:val="en-US"/>
        </w:rPr>
        <w:t>Australian Bureau of Statistics, ‘2016 Census QuickStats: Hume (C)’, loc. cit</w:t>
      </w:r>
      <w:r w:rsidRPr="00214239">
        <w:rPr>
          <w:rFonts w:ascii="Century Gothic" w:hAnsi="Century Gothic"/>
          <w:lang w:val="en-US"/>
        </w:rPr>
        <w:t>.</w:t>
      </w:r>
    </w:p>
  </w:footnote>
  <w:footnote w:id="12">
    <w:p w14:paraId="5CE06219" w14:textId="77777777" w:rsidR="00DB0E6B" w:rsidRPr="00214239" w:rsidRDefault="00DB0E6B" w:rsidP="00FA0E61">
      <w:pPr>
        <w:pStyle w:val="FootnoteText"/>
        <w:rPr>
          <w:rFonts w:ascii="Century Gothic" w:hAnsi="Century Gothic"/>
          <w:lang w:val="en-US"/>
        </w:rPr>
      </w:pPr>
      <w:r w:rsidRPr="00214239">
        <w:rPr>
          <w:rStyle w:val="FootnoteReference"/>
          <w:rFonts w:ascii="Century Gothic" w:hAnsi="Century Gothic"/>
        </w:rPr>
        <w:footnoteRef/>
      </w:r>
      <w:r w:rsidRPr="00214239">
        <w:rPr>
          <w:rFonts w:ascii="Century Gothic" w:hAnsi="Century Gothic"/>
        </w:rPr>
        <w:t xml:space="preserve"> </w:t>
      </w:r>
      <w:r w:rsidRPr="00214239">
        <w:rPr>
          <w:rFonts w:ascii="Century Gothic" w:hAnsi="Century Gothic"/>
          <w:color w:val="000000"/>
          <w:lang w:val="en-US"/>
        </w:rPr>
        <w:t>Ibid.</w:t>
      </w:r>
    </w:p>
  </w:footnote>
  <w:footnote w:id="13">
    <w:p w14:paraId="27203E2A" w14:textId="77777777" w:rsidR="00DB0E6B" w:rsidRPr="00CD22F8" w:rsidRDefault="00DB0E6B" w:rsidP="00FA0E61">
      <w:pPr>
        <w:pStyle w:val="FootnoteText"/>
        <w:rPr>
          <w:rFonts w:ascii="Century Gothic" w:hAnsi="Century Gothic"/>
          <w:lang w:val="en-US"/>
        </w:rPr>
      </w:pPr>
      <w:r w:rsidRPr="00214239">
        <w:rPr>
          <w:rStyle w:val="FootnoteReference"/>
          <w:rFonts w:ascii="Century Gothic" w:hAnsi="Century Gothic"/>
        </w:rPr>
        <w:footnoteRef/>
      </w:r>
      <w:r w:rsidRPr="00214239">
        <w:rPr>
          <w:rFonts w:ascii="Century Gothic" w:hAnsi="Century Gothic"/>
        </w:rPr>
        <w:t xml:space="preserve"> .id, ‘Hume City: Estimated Resident Population (ERP)’, </w:t>
      </w:r>
      <w:hyperlink r:id="rId6" w:history="1">
        <w:r w:rsidRPr="00214239">
          <w:rPr>
            <w:rStyle w:val="Hyperlink"/>
            <w:rFonts w:ascii="Century Gothic" w:hAnsi="Century Gothic"/>
          </w:rPr>
          <w:t>https://profile.id.com.au/hume/population-estimate</w:t>
        </w:r>
      </w:hyperlink>
      <w:r w:rsidRPr="00214239">
        <w:rPr>
          <w:rFonts w:ascii="Century Gothic" w:hAnsi="Century Gothic"/>
        </w:rPr>
        <w:t xml:space="preserve">, </w:t>
      </w:r>
      <w:r w:rsidRPr="00EF7EBE">
        <w:rPr>
          <w:rFonts w:ascii="Century Gothic" w:hAnsi="Century Gothic"/>
        </w:rPr>
        <w:t>accessed 7 April 2020</w:t>
      </w:r>
      <w:r w:rsidRPr="00214239">
        <w:rPr>
          <w:rFonts w:ascii="Century Gothic" w:hAnsi="Century Gothic"/>
        </w:rPr>
        <w:t>.</w:t>
      </w:r>
    </w:p>
  </w:footnote>
  <w:footnote w:id="14">
    <w:p w14:paraId="1AFD8603" w14:textId="77777777" w:rsidR="00DB0E6B" w:rsidRPr="00542AF4" w:rsidRDefault="00DB0E6B" w:rsidP="00FA0E61">
      <w:pPr>
        <w:pStyle w:val="FootnoteText"/>
        <w:rPr>
          <w:rFonts w:ascii="Century Gothic" w:hAnsi="Century Gothic"/>
          <w:lang w:val="en-US"/>
        </w:rPr>
      </w:pPr>
      <w:r w:rsidRPr="00542AF4">
        <w:rPr>
          <w:rStyle w:val="FootnoteReference"/>
          <w:rFonts w:ascii="Century Gothic" w:hAnsi="Century Gothic"/>
        </w:rPr>
        <w:footnoteRef/>
      </w:r>
      <w:r w:rsidRPr="00542AF4">
        <w:rPr>
          <w:rFonts w:ascii="Century Gothic" w:hAnsi="Century Gothic"/>
        </w:rPr>
        <w:t xml:space="preserve"> Department of Environment, Land, Water and Planning</w:t>
      </w:r>
      <w:r w:rsidRPr="00542AF4">
        <w:rPr>
          <w:rFonts w:ascii="Century Gothic" w:hAnsi="Century Gothic"/>
          <w:color w:val="000000"/>
        </w:rPr>
        <w:t xml:space="preserve">, ‘Victoria in Future 2019’, </w:t>
      </w:r>
      <w:hyperlink r:id="rId7" w:history="1">
        <w:r w:rsidRPr="00542AF4">
          <w:rPr>
            <w:rStyle w:val="Hyperlink"/>
            <w:rFonts w:ascii="Century Gothic" w:hAnsi="Century Gothic"/>
          </w:rPr>
          <w:t>https://www.planning.vic.gov.au/land-use-and-population-research/victoria-in-future</w:t>
        </w:r>
      </w:hyperlink>
      <w:r w:rsidRPr="00542AF4">
        <w:rPr>
          <w:rFonts w:ascii="Century Gothic" w:hAnsi="Century Gothic"/>
          <w:color w:val="000000"/>
        </w:rPr>
        <w:t xml:space="preserve">, accessed </w:t>
      </w:r>
      <w:r w:rsidRPr="009C4340">
        <w:rPr>
          <w:rFonts w:ascii="Century Gothic" w:hAnsi="Century Gothic"/>
          <w:color w:val="000000"/>
          <w:lang w:val="en-US"/>
        </w:rPr>
        <w:t>7 April 2020</w:t>
      </w:r>
      <w:r w:rsidRPr="009C4340">
        <w:rPr>
          <w:rFonts w:ascii="Century Gothic" w:hAnsi="Century Gothic"/>
          <w:color w:val="000000"/>
        </w:rPr>
        <w:t>.</w:t>
      </w:r>
    </w:p>
  </w:footnote>
  <w:footnote w:id="15">
    <w:p w14:paraId="0B0ACFC6" w14:textId="77777777" w:rsidR="00DB0E6B" w:rsidRPr="00542AF4" w:rsidRDefault="00DB0E6B" w:rsidP="00FA0E61">
      <w:pPr>
        <w:pStyle w:val="FootnoteText"/>
        <w:rPr>
          <w:rFonts w:ascii="Century Gothic" w:hAnsi="Century Gothic"/>
          <w:lang w:val="en-US"/>
        </w:rPr>
      </w:pPr>
      <w:r w:rsidRPr="005A66AF">
        <w:rPr>
          <w:rStyle w:val="FootnoteReference"/>
          <w:rFonts w:ascii="Century Gothic" w:hAnsi="Century Gothic"/>
        </w:rPr>
        <w:footnoteRef/>
      </w:r>
      <w:r w:rsidRPr="005A66AF">
        <w:rPr>
          <w:rFonts w:ascii="Century Gothic" w:hAnsi="Century Gothic"/>
        </w:rPr>
        <w:t xml:space="preserve"> Calculated from the VIF2019 Major Regions 2056 Data Table accompanying: </w:t>
      </w:r>
      <w:r w:rsidRPr="005A66AF">
        <w:rPr>
          <w:rFonts w:ascii="Century Gothic" w:hAnsi="Century Gothic"/>
        </w:rPr>
        <w:br/>
        <w:t>Department of Environment, Land, Water and Planning</w:t>
      </w:r>
      <w:r w:rsidRPr="005A66AF">
        <w:rPr>
          <w:rFonts w:ascii="Century Gothic" w:hAnsi="Century Gothic"/>
          <w:color w:val="000000"/>
        </w:rPr>
        <w:t>, ‘Victoria in Future 2019’</w:t>
      </w:r>
      <w:r>
        <w:rPr>
          <w:rFonts w:ascii="Century Gothic" w:hAnsi="Century Gothic"/>
          <w:color w:val="000000"/>
        </w:rPr>
        <w:t>.</w:t>
      </w:r>
    </w:p>
  </w:footnote>
  <w:footnote w:id="16">
    <w:p w14:paraId="38D198A0" w14:textId="77777777" w:rsidR="00DB0E6B" w:rsidRPr="00542AF4" w:rsidRDefault="00DB0E6B" w:rsidP="00FA0E61">
      <w:pPr>
        <w:pStyle w:val="FootnoteText"/>
        <w:rPr>
          <w:rFonts w:ascii="Century Gothic" w:hAnsi="Century Gothic"/>
          <w:lang w:val="en-US"/>
        </w:rPr>
      </w:pPr>
      <w:r w:rsidRPr="00542AF4">
        <w:rPr>
          <w:rStyle w:val="FootnoteReference"/>
          <w:rFonts w:ascii="Century Gothic" w:hAnsi="Century Gothic"/>
        </w:rPr>
        <w:footnoteRef/>
      </w:r>
      <w:r w:rsidRPr="00542AF4">
        <w:rPr>
          <w:rFonts w:ascii="Century Gothic" w:hAnsi="Century Gothic"/>
        </w:rPr>
        <w:t xml:space="preserve"> .id, ‘Hume City: Population and age structure map’, </w:t>
      </w:r>
      <w:hyperlink r:id="rId8" w:history="1">
        <w:r w:rsidRPr="00B119DB">
          <w:rPr>
            <w:rStyle w:val="Hyperlink"/>
            <w:rFonts w:ascii="Century Gothic" w:hAnsi="Century Gothic"/>
          </w:rPr>
          <w:t>https://forecast.id.com.au/hume/population-age-structure-map</w:t>
        </w:r>
      </w:hyperlink>
      <w:r w:rsidRPr="00B119DB">
        <w:rPr>
          <w:rFonts w:ascii="Century Gothic" w:hAnsi="Century Gothic"/>
        </w:rPr>
        <w:t xml:space="preserve">, </w:t>
      </w:r>
      <w:r w:rsidRPr="00B119DB">
        <w:rPr>
          <w:rFonts w:ascii="Century Gothic" w:hAnsi="Century Gothic"/>
          <w:color w:val="000000"/>
          <w:lang w:val="en-US"/>
        </w:rPr>
        <w:t>accesse</w:t>
      </w:r>
      <w:r w:rsidRPr="009C4340">
        <w:rPr>
          <w:rFonts w:ascii="Century Gothic" w:hAnsi="Century Gothic"/>
          <w:color w:val="000000"/>
          <w:lang w:val="en-US"/>
        </w:rPr>
        <w:t>d 7 April 2020.</w:t>
      </w:r>
    </w:p>
  </w:footnote>
  <w:footnote w:id="17">
    <w:p w14:paraId="5BD906B8" w14:textId="77777777" w:rsidR="00DB0E6B" w:rsidRPr="002557F4" w:rsidRDefault="00DB0E6B">
      <w:pPr>
        <w:pStyle w:val="FootnoteText"/>
        <w:rPr>
          <w:lang w:val="en-US"/>
        </w:rPr>
      </w:pPr>
      <w:r>
        <w:rPr>
          <w:rStyle w:val="FootnoteReference"/>
        </w:rPr>
        <w:footnoteRef/>
      </w:r>
      <w:r>
        <w:t xml:space="preserve"> </w:t>
      </w:r>
      <w:r>
        <w:rPr>
          <w:rFonts w:ascii="Century Gothic" w:hAnsi="Century Gothic"/>
        </w:rPr>
        <w:t>The documents are available at</w:t>
      </w:r>
      <w:r w:rsidRPr="00EA1C11">
        <w:rPr>
          <w:rFonts w:ascii="Century Gothic" w:hAnsi="Century Gothic"/>
        </w:rPr>
        <w:t xml:space="preserve"> </w:t>
      </w:r>
      <w:r>
        <w:rPr>
          <w:rFonts w:ascii="Century Gothic" w:hAnsi="Century Gothic"/>
        </w:rPr>
        <w:t>Hume City Council, ‘Strategies’, accessed 31 March 2020,</w:t>
      </w:r>
      <w:r w:rsidRPr="00362592">
        <w:rPr>
          <w:rFonts w:ascii="Century Gothic" w:hAnsi="Century Gothic"/>
        </w:rPr>
        <w:t xml:space="preserve"> </w:t>
      </w:r>
      <w:hyperlink r:id="rId9" w:history="1">
        <w:r w:rsidRPr="00362592">
          <w:rPr>
            <w:rStyle w:val="Hyperlink"/>
            <w:rFonts w:ascii="Century Gothic" w:hAnsi="Century Gothic"/>
          </w:rPr>
          <w:t>https://www.hume.vic.gov.au/About_Us_Contact_Details/Your_Council/Media_Publications_amp_Forms/Policies_Strategies/Strategies</w:t>
        </w:r>
      </w:hyperlink>
      <w:r w:rsidRPr="00362592">
        <w:rPr>
          <w:rFonts w:ascii="Century Gothic" w:hAnsi="Century Gothic"/>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994CC" w14:textId="77777777" w:rsidR="00DB0E6B" w:rsidRDefault="00DB0E6B">
    <w:pPr>
      <w:pStyle w:val="Header"/>
      <w:pBdr>
        <w:bottom w:val="single" w:sz="4" w:space="1" w:color="auto"/>
      </w:pBdr>
    </w:pPr>
    <w:r>
      <w:t>Local Council Subdivision Review - Final Report</w:t>
    </w:r>
    <w:r>
      <w:br/>
    </w:r>
    <w:r w:rsidRPr="000A5874">
      <w:rPr>
        <w:noProof/>
      </w:rPr>
      <w:t>Hume City Council</w:t>
    </w:r>
    <w:r>
      <w:t xml:space="preserve"> </w:t>
    </w:r>
    <w:r w:rsidRPr="000A5874">
      <w:rPr>
        <w:noProof/>
      </w:rPr>
      <w:t>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C086E" w14:textId="77777777" w:rsidR="00DB0E6B" w:rsidRDefault="00DB0E6B" w:rsidP="00280BE4">
    <w:pPr>
      <w:pStyle w:val="Header"/>
      <w:pBdr>
        <w:bottom w:val="single" w:sz="4" w:space="1" w:color="auto"/>
      </w:pBdr>
    </w:pPr>
    <w:r>
      <w:t>Local Council Subdivision Review - Final Report</w:t>
    </w:r>
    <w:r>
      <w:br/>
    </w:r>
    <w:r w:rsidRPr="000A5874">
      <w:rPr>
        <w:noProof/>
      </w:rPr>
      <w:t>Hume City Council</w:t>
    </w:r>
    <w:r>
      <w:t xml:space="preserve"> </w:t>
    </w:r>
    <w:r w:rsidRPr="000A5874">
      <w:rPr>
        <w:noProof/>
      </w:rPr>
      <w:t>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0ACAD" w14:textId="77777777" w:rsidR="00DB0E6B" w:rsidRPr="00470B7A" w:rsidRDefault="00DB0E6B"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CC6F9" w14:textId="77777777" w:rsidR="00DB0E6B" w:rsidRPr="00B92B36" w:rsidRDefault="00DB0E6B"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62D0B" w14:textId="77777777" w:rsidR="00DB0E6B" w:rsidRPr="005D6CFA" w:rsidRDefault="00DB0E6B"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C3087" w14:textId="77777777" w:rsidR="00DB0E6B" w:rsidRPr="005D6CFA" w:rsidRDefault="00DB0E6B" w:rsidP="005D6CFA">
    <w:pPr>
      <w:pStyle w:val="Header"/>
    </w:pPr>
    <w:r>
      <w:rPr>
        <w:noProof/>
      </w:rPr>
      <w:drawing>
        <wp:anchor distT="0" distB="0" distL="114300" distR="114300" simplePos="0" relativeHeight="251661312" behindDoc="0" locked="0" layoutInCell="1" allowOverlap="1" wp14:anchorId="44467CA1" wp14:editId="5F28093F">
          <wp:simplePos x="0" y="0"/>
          <wp:positionH relativeFrom="column">
            <wp:posOffset>4150995</wp:posOffset>
          </wp:positionH>
          <wp:positionV relativeFrom="paragraph">
            <wp:posOffset>250825</wp:posOffset>
          </wp:positionV>
          <wp:extent cx="1841500" cy="638175"/>
          <wp:effectExtent l="0" t="0" r="635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0975C" w14:textId="77777777" w:rsidR="00DB0E6B" w:rsidRPr="005D6CFA" w:rsidRDefault="00DB0E6B" w:rsidP="005D6CFA">
    <w:pPr>
      <w:pStyle w:val="Header"/>
    </w:pPr>
    <w:r>
      <w:rPr>
        <w:noProof/>
      </w:rPr>
      <w:drawing>
        <wp:anchor distT="0" distB="0" distL="114300" distR="114300" simplePos="0" relativeHeight="251659264" behindDoc="0" locked="0" layoutInCell="1" allowOverlap="1" wp14:anchorId="1DF7B125" wp14:editId="4253AA90">
          <wp:simplePos x="0" y="0"/>
          <wp:positionH relativeFrom="column">
            <wp:posOffset>4150995</wp:posOffset>
          </wp:positionH>
          <wp:positionV relativeFrom="paragraph">
            <wp:posOffset>250825</wp:posOffset>
          </wp:positionV>
          <wp:extent cx="1841500" cy="638175"/>
          <wp:effectExtent l="0" t="0" r="635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B51EFA"/>
    <w:multiLevelType w:val="hybridMultilevel"/>
    <w:tmpl w:val="032C1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CE5CDB"/>
    <w:multiLevelType w:val="hybridMultilevel"/>
    <w:tmpl w:val="FDB24D56"/>
    <w:lvl w:ilvl="0" w:tplc="33546F8C">
      <w:start w:val="1"/>
      <w:numFmt w:val="bullet"/>
      <w:lvlText w:val="•"/>
      <w:lvlJc w:val="left"/>
      <w:pPr>
        <w:tabs>
          <w:tab w:val="num" w:pos="720"/>
        </w:tabs>
        <w:ind w:left="720" w:hanging="360"/>
      </w:pPr>
      <w:rPr>
        <w:rFonts w:ascii="Arial" w:hAnsi="Arial" w:hint="default"/>
      </w:rPr>
    </w:lvl>
    <w:lvl w:ilvl="1" w:tplc="C3CE54E8" w:tentative="1">
      <w:start w:val="1"/>
      <w:numFmt w:val="bullet"/>
      <w:lvlText w:val="•"/>
      <w:lvlJc w:val="left"/>
      <w:pPr>
        <w:tabs>
          <w:tab w:val="num" w:pos="1440"/>
        </w:tabs>
        <w:ind w:left="1440" w:hanging="360"/>
      </w:pPr>
      <w:rPr>
        <w:rFonts w:ascii="Arial" w:hAnsi="Arial" w:hint="default"/>
      </w:rPr>
    </w:lvl>
    <w:lvl w:ilvl="2" w:tplc="D7F6A182" w:tentative="1">
      <w:start w:val="1"/>
      <w:numFmt w:val="bullet"/>
      <w:lvlText w:val="•"/>
      <w:lvlJc w:val="left"/>
      <w:pPr>
        <w:tabs>
          <w:tab w:val="num" w:pos="2160"/>
        </w:tabs>
        <w:ind w:left="2160" w:hanging="360"/>
      </w:pPr>
      <w:rPr>
        <w:rFonts w:ascii="Arial" w:hAnsi="Arial" w:hint="default"/>
      </w:rPr>
    </w:lvl>
    <w:lvl w:ilvl="3" w:tplc="8F30BC9C" w:tentative="1">
      <w:start w:val="1"/>
      <w:numFmt w:val="bullet"/>
      <w:lvlText w:val="•"/>
      <w:lvlJc w:val="left"/>
      <w:pPr>
        <w:tabs>
          <w:tab w:val="num" w:pos="2880"/>
        </w:tabs>
        <w:ind w:left="2880" w:hanging="360"/>
      </w:pPr>
      <w:rPr>
        <w:rFonts w:ascii="Arial" w:hAnsi="Arial" w:hint="default"/>
      </w:rPr>
    </w:lvl>
    <w:lvl w:ilvl="4" w:tplc="5720F8E0" w:tentative="1">
      <w:start w:val="1"/>
      <w:numFmt w:val="bullet"/>
      <w:lvlText w:val="•"/>
      <w:lvlJc w:val="left"/>
      <w:pPr>
        <w:tabs>
          <w:tab w:val="num" w:pos="3600"/>
        </w:tabs>
        <w:ind w:left="3600" w:hanging="360"/>
      </w:pPr>
      <w:rPr>
        <w:rFonts w:ascii="Arial" w:hAnsi="Arial" w:hint="default"/>
      </w:rPr>
    </w:lvl>
    <w:lvl w:ilvl="5" w:tplc="2F624B36" w:tentative="1">
      <w:start w:val="1"/>
      <w:numFmt w:val="bullet"/>
      <w:lvlText w:val="•"/>
      <w:lvlJc w:val="left"/>
      <w:pPr>
        <w:tabs>
          <w:tab w:val="num" w:pos="4320"/>
        </w:tabs>
        <w:ind w:left="4320" w:hanging="360"/>
      </w:pPr>
      <w:rPr>
        <w:rFonts w:ascii="Arial" w:hAnsi="Arial" w:hint="default"/>
      </w:rPr>
    </w:lvl>
    <w:lvl w:ilvl="6" w:tplc="C8527754" w:tentative="1">
      <w:start w:val="1"/>
      <w:numFmt w:val="bullet"/>
      <w:lvlText w:val="•"/>
      <w:lvlJc w:val="left"/>
      <w:pPr>
        <w:tabs>
          <w:tab w:val="num" w:pos="5040"/>
        </w:tabs>
        <w:ind w:left="5040" w:hanging="360"/>
      </w:pPr>
      <w:rPr>
        <w:rFonts w:ascii="Arial" w:hAnsi="Arial" w:hint="default"/>
      </w:rPr>
    </w:lvl>
    <w:lvl w:ilvl="7" w:tplc="477CE34C" w:tentative="1">
      <w:start w:val="1"/>
      <w:numFmt w:val="bullet"/>
      <w:lvlText w:val="•"/>
      <w:lvlJc w:val="left"/>
      <w:pPr>
        <w:tabs>
          <w:tab w:val="num" w:pos="5760"/>
        </w:tabs>
        <w:ind w:left="5760" w:hanging="360"/>
      </w:pPr>
      <w:rPr>
        <w:rFonts w:ascii="Arial" w:hAnsi="Arial" w:hint="default"/>
      </w:rPr>
    </w:lvl>
    <w:lvl w:ilvl="8" w:tplc="6FE2A220" w:tentative="1">
      <w:start w:val="1"/>
      <w:numFmt w:val="bullet"/>
      <w:lvlText w:val="•"/>
      <w:lvlJc w:val="left"/>
      <w:pPr>
        <w:tabs>
          <w:tab w:val="num" w:pos="6480"/>
        </w:tabs>
        <w:ind w:left="6480" w:hanging="360"/>
      </w:pPr>
      <w:rPr>
        <w:rFonts w:ascii="Arial" w:hAnsi="Arial" w:hint="default"/>
      </w:rPr>
    </w:lvl>
  </w:abstractNum>
  <w:abstractNum w:abstractNumId="3" w15:restartNumberingAfterBreak="1">
    <w:nsid w:val="0A6E4C1B"/>
    <w:multiLevelType w:val="hybridMultilevel"/>
    <w:tmpl w:val="F8789F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15DD4"/>
    <w:multiLevelType w:val="hybridMultilevel"/>
    <w:tmpl w:val="9ED62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1">
    <w:nsid w:val="0FE87771"/>
    <w:multiLevelType w:val="hybridMultilevel"/>
    <w:tmpl w:val="E1003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7" w15:restartNumberingAfterBreak="0">
    <w:nsid w:val="17C80CEB"/>
    <w:multiLevelType w:val="hybridMultilevel"/>
    <w:tmpl w:val="0FB01212"/>
    <w:lvl w:ilvl="0" w:tplc="F4D40BEE">
      <w:numFmt w:val="bullet"/>
      <w:lvlText w:val="-"/>
      <w:lvlJc w:val="left"/>
      <w:pPr>
        <w:ind w:left="720" w:hanging="360"/>
      </w:pPr>
      <w:rPr>
        <w:rFonts w:ascii="Century Gothic" w:eastAsia="Calibri" w:hAnsi="Century Goth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0C3EE8"/>
    <w:multiLevelType w:val="hybridMultilevel"/>
    <w:tmpl w:val="2E642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78485C"/>
    <w:multiLevelType w:val="hybridMultilevel"/>
    <w:tmpl w:val="6936AF3A"/>
    <w:lvl w:ilvl="0" w:tplc="2488F506">
      <w:numFmt w:val="bullet"/>
      <w:lvlText w:val="-"/>
      <w:lvlJc w:val="left"/>
      <w:pPr>
        <w:ind w:left="720" w:hanging="360"/>
      </w:pPr>
      <w:rPr>
        <w:rFonts w:ascii="Century Gothic" w:eastAsia="Calibri" w:hAnsi="Century Goth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6A1D84"/>
    <w:multiLevelType w:val="hybridMultilevel"/>
    <w:tmpl w:val="11728BDC"/>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4" w15:restartNumberingAfterBreak="0">
    <w:nsid w:val="69274CF2"/>
    <w:multiLevelType w:val="hybridMultilevel"/>
    <w:tmpl w:val="5BBA51C8"/>
    <w:lvl w:ilvl="0" w:tplc="F4D40BEE">
      <w:numFmt w:val="bullet"/>
      <w:lvlText w:val="-"/>
      <w:lvlJc w:val="left"/>
      <w:pPr>
        <w:ind w:left="720" w:hanging="360"/>
      </w:pPr>
      <w:rPr>
        <w:rFonts w:ascii="Century Gothic" w:eastAsia="Calibri" w:hAnsi="Century Goth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1">
    <w:nsid w:val="72032823"/>
    <w:multiLevelType w:val="hybridMultilevel"/>
    <w:tmpl w:val="E77AE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7D34B5"/>
    <w:multiLevelType w:val="hybridMultilevel"/>
    <w:tmpl w:val="E362DE7A"/>
    <w:lvl w:ilvl="0" w:tplc="B6FC6818">
      <w:numFmt w:val="bullet"/>
      <w:lvlText w:val="-"/>
      <w:lvlJc w:val="left"/>
      <w:pPr>
        <w:ind w:left="720" w:hanging="360"/>
      </w:pPr>
      <w:rPr>
        <w:rFonts w:ascii="Century Gothic" w:eastAsia="Calibri" w:hAnsi="Century Goth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CB0ABA"/>
    <w:multiLevelType w:val="hybridMultilevel"/>
    <w:tmpl w:val="629211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6"/>
  </w:num>
  <w:num w:numId="2">
    <w:abstractNumId w:val="11"/>
  </w:num>
  <w:num w:numId="3">
    <w:abstractNumId w:val="8"/>
  </w:num>
  <w:num w:numId="4">
    <w:abstractNumId w:val="0"/>
  </w:num>
  <w:num w:numId="5">
    <w:abstractNumId w:val="10"/>
  </w:num>
  <w:num w:numId="6">
    <w:abstractNumId w:val="5"/>
  </w:num>
  <w:num w:numId="7">
    <w:abstractNumId w:val="15"/>
  </w:num>
  <w:num w:numId="8">
    <w:abstractNumId w:val="3"/>
  </w:num>
  <w:num w:numId="9">
    <w:abstractNumId w:val="9"/>
  </w:num>
  <w:num w:numId="10">
    <w:abstractNumId w:val="1"/>
  </w:num>
  <w:num w:numId="11">
    <w:abstractNumId w:val="4"/>
  </w:num>
  <w:num w:numId="12">
    <w:abstractNumId w:val="7"/>
  </w:num>
  <w:num w:numId="13">
    <w:abstractNumId w:val="16"/>
  </w:num>
  <w:num w:numId="14">
    <w:abstractNumId w:val="12"/>
  </w:num>
  <w:num w:numId="15">
    <w:abstractNumId w:val="14"/>
  </w:num>
  <w:num w:numId="16">
    <w:abstractNumId w:val="2"/>
  </w:num>
  <w:num w:numId="17">
    <w:abstractNumId w:val="13"/>
  </w:num>
  <w:num w:numId="18">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08EB"/>
    <w:rsid w:val="00002551"/>
    <w:rsid w:val="00003FBD"/>
    <w:rsid w:val="00004A11"/>
    <w:rsid w:val="0000730D"/>
    <w:rsid w:val="000110E4"/>
    <w:rsid w:val="000127CF"/>
    <w:rsid w:val="00015ED1"/>
    <w:rsid w:val="00016DEC"/>
    <w:rsid w:val="000204EF"/>
    <w:rsid w:val="00021094"/>
    <w:rsid w:val="000216AD"/>
    <w:rsid w:val="000243B1"/>
    <w:rsid w:val="00025302"/>
    <w:rsid w:val="00026D1D"/>
    <w:rsid w:val="0002753A"/>
    <w:rsid w:val="0003076D"/>
    <w:rsid w:val="0003079F"/>
    <w:rsid w:val="00031BC5"/>
    <w:rsid w:val="00034D94"/>
    <w:rsid w:val="00037F02"/>
    <w:rsid w:val="00050E36"/>
    <w:rsid w:val="00053BC9"/>
    <w:rsid w:val="000556FD"/>
    <w:rsid w:val="00057912"/>
    <w:rsid w:val="00057BB2"/>
    <w:rsid w:val="00061135"/>
    <w:rsid w:val="0006125C"/>
    <w:rsid w:val="000637D4"/>
    <w:rsid w:val="00065818"/>
    <w:rsid w:val="00067BB7"/>
    <w:rsid w:val="0007010F"/>
    <w:rsid w:val="00073839"/>
    <w:rsid w:val="00073C49"/>
    <w:rsid w:val="00073F5D"/>
    <w:rsid w:val="00075877"/>
    <w:rsid w:val="00076F40"/>
    <w:rsid w:val="00077E48"/>
    <w:rsid w:val="00080313"/>
    <w:rsid w:val="00084610"/>
    <w:rsid w:val="0008518F"/>
    <w:rsid w:val="00085C7A"/>
    <w:rsid w:val="0009009E"/>
    <w:rsid w:val="0009133B"/>
    <w:rsid w:val="00092C26"/>
    <w:rsid w:val="0009592B"/>
    <w:rsid w:val="00096671"/>
    <w:rsid w:val="000A1433"/>
    <w:rsid w:val="000A271D"/>
    <w:rsid w:val="000A2E08"/>
    <w:rsid w:val="000A326A"/>
    <w:rsid w:val="000A4F55"/>
    <w:rsid w:val="000A6DB8"/>
    <w:rsid w:val="000B01D1"/>
    <w:rsid w:val="000B0EB4"/>
    <w:rsid w:val="000B3121"/>
    <w:rsid w:val="000B44FB"/>
    <w:rsid w:val="000B629D"/>
    <w:rsid w:val="000C15CB"/>
    <w:rsid w:val="000C1674"/>
    <w:rsid w:val="000C25D4"/>
    <w:rsid w:val="000C26E7"/>
    <w:rsid w:val="000C65A2"/>
    <w:rsid w:val="000C710C"/>
    <w:rsid w:val="000D0C47"/>
    <w:rsid w:val="000D124D"/>
    <w:rsid w:val="000D237F"/>
    <w:rsid w:val="000D3555"/>
    <w:rsid w:val="000D3E4D"/>
    <w:rsid w:val="000D44E7"/>
    <w:rsid w:val="000D46B9"/>
    <w:rsid w:val="000D7544"/>
    <w:rsid w:val="000D7674"/>
    <w:rsid w:val="000E0176"/>
    <w:rsid w:val="000E1318"/>
    <w:rsid w:val="000E2A70"/>
    <w:rsid w:val="000E3032"/>
    <w:rsid w:val="000E59D1"/>
    <w:rsid w:val="000E69AD"/>
    <w:rsid w:val="000F2208"/>
    <w:rsid w:val="000F23BE"/>
    <w:rsid w:val="000F2665"/>
    <w:rsid w:val="000F5125"/>
    <w:rsid w:val="000F51F1"/>
    <w:rsid w:val="000F6786"/>
    <w:rsid w:val="001002D4"/>
    <w:rsid w:val="00100C30"/>
    <w:rsid w:val="0010143E"/>
    <w:rsid w:val="0010176B"/>
    <w:rsid w:val="00101968"/>
    <w:rsid w:val="00103F4E"/>
    <w:rsid w:val="00104E09"/>
    <w:rsid w:val="0010564D"/>
    <w:rsid w:val="00105B12"/>
    <w:rsid w:val="00106CCA"/>
    <w:rsid w:val="001072C3"/>
    <w:rsid w:val="001105E1"/>
    <w:rsid w:val="00114A3D"/>
    <w:rsid w:val="00115F60"/>
    <w:rsid w:val="00116304"/>
    <w:rsid w:val="00123F9B"/>
    <w:rsid w:val="001276D1"/>
    <w:rsid w:val="00127C7D"/>
    <w:rsid w:val="001304A0"/>
    <w:rsid w:val="00135DBF"/>
    <w:rsid w:val="00136C30"/>
    <w:rsid w:val="001375B0"/>
    <w:rsid w:val="0013793E"/>
    <w:rsid w:val="001402F0"/>
    <w:rsid w:val="00143A43"/>
    <w:rsid w:val="00147C4E"/>
    <w:rsid w:val="00150CAC"/>
    <w:rsid w:val="00154466"/>
    <w:rsid w:val="00154C49"/>
    <w:rsid w:val="00155323"/>
    <w:rsid w:val="001556C9"/>
    <w:rsid w:val="00161AC2"/>
    <w:rsid w:val="001632E0"/>
    <w:rsid w:val="00164847"/>
    <w:rsid w:val="00170255"/>
    <w:rsid w:val="00170991"/>
    <w:rsid w:val="00172C21"/>
    <w:rsid w:val="001734E5"/>
    <w:rsid w:val="0017381B"/>
    <w:rsid w:val="00174633"/>
    <w:rsid w:val="0017536D"/>
    <w:rsid w:val="001754FF"/>
    <w:rsid w:val="00175DBA"/>
    <w:rsid w:val="00176C44"/>
    <w:rsid w:val="00177E51"/>
    <w:rsid w:val="0018081E"/>
    <w:rsid w:val="00182DB4"/>
    <w:rsid w:val="00184C4A"/>
    <w:rsid w:val="00185DAB"/>
    <w:rsid w:val="00186733"/>
    <w:rsid w:val="00186CAB"/>
    <w:rsid w:val="00187080"/>
    <w:rsid w:val="00193409"/>
    <w:rsid w:val="001944C1"/>
    <w:rsid w:val="0019694C"/>
    <w:rsid w:val="00197AEA"/>
    <w:rsid w:val="00197F6B"/>
    <w:rsid w:val="001A0E59"/>
    <w:rsid w:val="001A2AC0"/>
    <w:rsid w:val="001A542B"/>
    <w:rsid w:val="001A6919"/>
    <w:rsid w:val="001A72DD"/>
    <w:rsid w:val="001B306A"/>
    <w:rsid w:val="001B315E"/>
    <w:rsid w:val="001B5BCC"/>
    <w:rsid w:val="001B6331"/>
    <w:rsid w:val="001C104F"/>
    <w:rsid w:val="001C1F92"/>
    <w:rsid w:val="001C534E"/>
    <w:rsid w:val="001D14C4"/>
    <w:rsid w:val="001D264F"/>
    <w:rsid w:val="001D4048"/>
    <w:rsid w:val="001D5684"/>
    <w:rsid w:val="001D6174"/>
    <w:rsid w:val="001D7D31"/>
    <w:rsid w:val="001E1710"/>
    <w:rsid w:val="001E4088"/>
    <w:rsid w:val="001E6CCD"/>
    <w:rsid w:val="001E6DDB"/>
    <w:rsid w:val="001E742A"/>
    <w:rsid w:val="001F3483"/>
    <w:rsid w:val="001F5469"/>
    <w:rsid w:val="0020123B"/>
    <w:rsid w:val="00206E36"/>
    <w:rsid w:val="0020726E"/>
    <w:rsid w:val="00210A88"/>
    <w:rsid w:val="00211F1D"/>
    <w:rsid w:val="0021241B"/>
    <w:rsid w:val="00216138"/>
    <w:rsid w:val="00223B4D"/>
    <w:rsid w:val="002272FB"/>
    <w:rsid w:val="00230860"/>
    <w:rsid w:val="00231569"/>
    <w:rsid w:val="0023195F"/>
    <w:rsid w:val="00233344"/>
    <w:rsid w:val="00236B8E"/>
    <w:rsid w:val="0023767A"/>
    <w:rsid w:val="0024036A"/>
    <w:rsid w:val="00243205"/>
    <w:rsid w:val="002432E9"/>
    <w:rsid w:val="002518F6"/>
    <w:rsid w:val="0025312D"/>
    <w:rsid w:val="00254D26"/>
    <w:rsid w:val="002557F4"/>
    <w:rsid w:val="0025589C"/>
    <w:rsid w:val="00260870"/>
    <w:rsid w:val="00261FD2"/>
    <w:rsid w:val="0026520A"/>
    <w:rsid w:val="00265ACF"/>
    <w:rsid w:val="00267474"/>
    <w:rsid w:val="002738DD"/>
    <w:rsid w:val="002801F2"/>
    <w:rsid w:val="00280BE4"/>
    <w:rsid w:val="0028394C"/>
    <w:rsid w:val="00285B11"/>
    <w:rsid w:val="00287AE0"/>
    <w:rsid w:val="002910F2"/>
    <w:rsid w:val="002941F0"/>
    <w:rsid w:val="0029684E"/>
    <w:rsid w:val="00297DF8"/>
    <w:rsid w:val="002A0E54"/>
    <w:rsid w:val="002A52B4"/>
    <w:rsid w:val="002A6360"/>
    <w:rsid w:val="002A7EB0"/>
    <w:rsid w:val="002B2268"/>
    <w:rsid w:val="002B467C"/>
    <w:rsid w:val="002B5518"/>
    <w:rsid w:val="002B6984"/>
    <w:rsid w:val="002B774F"/>
    <w:rsid w:val="002B79DB"/>
    <w:rsid w:val="002C4301"/>
    <w:rsid w:val="002C7272"/>
    <w:rsid w:val="002D3703"/>
    <w:rsid w:val="002D3C51"/>
    <w:rsid w:val="002D42C2"/>
    <w:rsid w:val="002E1773"/>
    <w:rsid w:val="002E2535"/>
    <w:rsid w:val="002E3777"/>
    <w:rsid w:val="002E55C4"/>
    <w:rsid w:val="002E5BB7"/>
    <w:rsid w:val="002E7F9A"/>
    <w:rsid w:val="002F2328"/>
    <w:rsid w:val="002F3898"/>
    <w:rsid w:val="002F5F47"/>
    <w:rsid w:val="0030192F"/>
    <w:rsid w:val="003031A7"/>
    <w:rsid w:val="0030658A"/>
    <w:rsid w:val="00311D85"/>
    <w:rsid w:val="00311FAE"/>
    <w:rsid w:val="00312047"/>
    <w:rsid w:val="00312883"/>
    <w:rsid w:val="003162F0"/>
    <w:rsid w:val="00317C7B"/>
    <w:rsid w:val="00320290"/>
    <w:rsid w:val="003233E0"/>
    <w:rsid w:val="00331960"/>
    <w:rsid w:val="00332100"/>
    <w:rsid w:val="00332852"/>
    <w:rsid w:val="0033788A"/>
    <w:rsid w:val="003438CF"/>
    <w:rsid w:val="00343F3F"/>
    <w:rsid w:val="00344782"/>
    <w:rsid w:val="0034506D"/>
    <w:rsid w:val="00345841"/>
    <w:rsid w:val="003473AC"/>
    <w:rsid w:val="00347AF9"/>
    <w:rsid w:val="00350506"/>
    <w:rsid w:val="00351D4D"/>
    <w:rsid w:val="00352C1B"/>
    <w:rsid w:val="00353906"/>
    <w:rsid w:val="00354093"/>
    <w:rsid w:val="0035450A"/>
    <w:rsid w:val="00355A71"/>
    <w:rsid w:val="00356D9A"/>
    <w:rsid w:val="003570E5"/>
    <w:rsid w:val="00360C13"/>
    <w:rsid w:val="00362592"/>
    <w:rsid w:val="00367E1D"/>
    <w:rsid w:val="00371382"/>
    <w:rsid w:val="003725DA"/>
    <w:rsid w:val="00372B17"/>
    <w:rsid w:val="003731CC"/>
    <w:rsid w:val="0037531F"/>
    <w:rsid w:val="0037698F"/>
    <w:rsid w:val="00377AA3"/>
    <w:rsid w:val="00380260"/>
    <w:rsid w:val="003828FA"/>
    <w:rsid w:val="00382BE8"/>
    <w:rsid w:val="00383408"/>
    <w:rsid w:val="00386311"/>
    <w:rsid w:val="00386A43"/>
    <w:rsid w:val="00387104"/>
    <w:rsid w:val="003871E4"/>
    <w:rsid w:val="0038724F"/>
    <w:rsid w:val="00394068"/>
    <w:rsid w:val="0039499E"/>
    <w:rsid w:val="00394E8B"/>
    <w:rsid w:val="00395B16"/>
    <w:rsid w:val="003969A3"/>
    <w:rsid w:val="00397515"/>
    <w:rsid w:val="003A3ACD"/>
    <w:rsid w:val="003A3C36"/>
    <w:rsid w:val="003A425F"/>
    <w:rsid w:val="003A6E1D"/>
    <w:rsid w:val="003B046A"/>
    <w:rsid w:val="003B0846"/>
    <w:rsid w:val="003B4A46"/>
    <w:rsid w:val="003B5251"/>
    <w:rsid w:val="003C1736"/>
    <w:rsid w:val="003C21E9"/>
    <w:rsid w:val="003C43CD"/>
    <w:rsid w:val="003C440B"/>
    <w:rsid w:val="003C46E9"/>
    <w:rsid w:val="003C6B08"/>
    <w:rsid w:val="003C6BB0"/>
    <w:rsid w:val="003C748F"/>
    <w:rsid w:val="003C7933"/>
    <w:rsid w:val="003D281E"/>
    <w:rsid w:val="003D4494"/>
    <w:rsid w:val="003D7D36"/>
    <w:rsid w:val="003E2847"/>
    <w:rsid w:val="003E5FEB"/>
    <w:rsid w:val="003E6521"/>
    <w:rsid w:val="003E6EF5"/>
    <w:rsid w:val="003F3C99"/>
    <w:rsid w:val="003F5B2E"/>
    <w:rsid w:val="003F652B"/>
    <w:rsid w:val="003F7134"/>
    <w:rsid w:val="0040130C"/>
    <w:rsid w:val="00402A2E"/>
    <w:rsid w:val="00403F58"/>
    <w:rsid w:val="0040477F"/>
    <w:rsid w:val="00410D4D"/>
    <w:rsid w:val="00411E57"/>
    <w:rsid w:val="00413795"/>
    <w:rsid w:val="0041469B"/>
    <w:rsid w:val="00416CB1"/>
    <w:rsid w:val="0042119D"/>
    <w:rsid w:val="00421F83"/>
    <w:rsid w:val="00426ABC"/>
    <w:rsid w:val="00427D0C"/>
    <w:rsid w:val="00431162"/>
    <w:rsid w:val="004312BF"/>
    <w:rsid w:val="004338D0"/>
    <w:rsid w:val="00433FD1"/>
    <w:rsid w:val="00435C2B"/>
    <w:rsid w:val="00441D9B"/>
    <w:rsid w:val="004462D0"/>
    <w:rsid w:val="0044632E"/>
    <w:rsid w:val="00451229"/>
    <w:rsid w:val="004545D8"/>
    <w:rsid w:val="00454AEE"/>
    <w:rsid w:val="00456145"/>
    <w:rsid w:val="00456C5E"/>
    <w:rsid w:val="00457BC0"/>
    <w:rsid w:val="00462440"/>
    <w:rsid w:val="0046456B"/>
    <w:rsid w:val="0046474D"/>
    <w:rsid w:val="004647BD"/>
    <w:rsid w:val="00465EBB"/>
    <w:rsid w:val="00465ED2"/>
    <w:rsid w:val="004665D9"/>
    <w:rsid w:val="0047023F"/>
    <w:rsid w:val="00470B7A"/>
    <w:rsid w:val="004771FF"/>
    <w:rsid w:val="00480488"/>
    <w:rsid w:val="00480F5F"/>
    <w:rsid w:val="004827BB"/>
    <w:rsid w:val="00482B32"/>
    <w:rsid w:val="004838D2"/>
    <w:rsid w:val="00484906"/>
    <w:rsid w:val="004849BE"/>
    <w:rsid w:val="004921A7"/>
    <w:rsid w:val="004930A6"/>
    <w:rsid w:val="00494A20"/>
    <w:rsid w:val="00497077"/>
    <w:rsid w:val="004A0E90"/>
    <w:rsid w:val="004A0EED"/>
    <w:rsid w:val="004A3361"/>
    <w:rsid w:val="004A3A45"/>
    <w:rsid w:val="004A6900"/>
    <w:rsid w:val="004A72FE"/>
    <w:rsid w:val="004B072D"/>
    <w:rsid w:val="004B116C"/>
    <w:rsid w:val="004B2E10"/>
    <w:rsid w:val="004B304D"/>
    <w:rsid w:val="004B6AB2"/>
    <w:rsid w:val="004C0D21"/>
    <w:rsid w:val="004C1406"/>
    <w:rsid w:val="004C1724"/>
    <w:rsid w:val="004C2BEA"/>
    <w:rsid w:val="004C43BB"/>
    <w:rsid w:val="004C4ACA"/>
    <w:rsid w:val="004C6E14"/>
    <w:rsid w:val="004D5CC1"/>
    <w:rsid w:val="004D733F"/>
    <w:rsid w:val="004D785F"/>
    <w:rsid w:val="004E0114"/>
    <w:rsid w:val="004E0ED7"/>
    <w:rsid w:val="004E3773"/>
    <w:rsid w:val="004E3B72"/>
    <w:rsid w:val="004E3F55"/>
    <w:rsid w:val="004E49C5"/>
    <w:rsid w:val="004E49E1"/>
    <w:rsid w:val="004E4E7D"/>
    <w:rsid w:val="004E7967"/>
    <w:rsid w:val="004F18FB"/>
    <w:rsid w:val="004F3687"/>
    <w:rsid w:val="004F393A"/>
    <w:rsid w:val="005009D7"/>
    <w:rsid w:val="00500A3D"/>
    <w:rsid w:val="00501150"/>
    <w:rsid w:val="00502769"/>
    <w:rsid w:val="00502B3A"/>
    <w:rsid w:val="0050397F"/>
    <w:rsid w:val="00503F9C"/>
    <w:rsid w:val="00506F44"/>
    <w:rsid w:val="0051649C"/>
    <w:rsid w:val="00520AE9"/>
    <w:rsid w:val="00520E73"/>
    <w:rsid w:val="0052399B"/>
    <w:rsid w:val="00524ACB"/>
    <w:rsid w:val="00525801"/>
    <w:rsid w:val="005269BE"/>
    <w:rsid w:val="00527BF9"/>
    <w:rsid w:val="00531B29"/>
    <w:rsid w:val="00534407"/>
    <w:rsid w:val="005355E4"/>
    <w:rsid w:val="00537533"/>
    <w:rsid w:val="00537E02"/>
    <w:rsid w:val="00537E37"/>
    <w:rsid w:val="00540E47"/>
    <w:rsid w:val="00540F3B"/>
    <w:rsid w:val="005414BD"/>
    <w:rsid w:val="00541595"/>
    <w:rsid w:val="00542DD3"/>
    <w:rsid w:val="005446E1"/>
    <w:rsid w:val="0054486A"/>
    <w:rsid w:val="00544FF6"/>
    <w:rsid w:val="005458B1"/>
    <w:rsid w:val="00547E5C"/>
    <w:rsid w:val="0055065E"/>
    <w:rsid w:val="00550D64"/>
    <w:rsid w:val="00550D66"/>
    <w:rsid w:val="00551B4D"/>
    <w:rsid w:val="00552783"/>
    <w:rsid w:val="00554293"/>
    <w:rsid w:val="00554F3B"/>
    <w:rsid w:val="0055524E"/>
    <w:rsid w:val="00557F3C"/>
    <w:rsid w:val="00564418"/>
    <w:rsid w:val="00565517"/>
    <w:rsid w:val="005670C5"/>
    <w:rsid w:val="00570C4B"/>
    <w:rsid w:val="00572120"/>
    <w:rsid w:val="00572EBE"/>
    <w:rsid w:val="0057325E"/>
    <w:rsid w:val="00573E11"/>
    <w:rsid w:val="0057520B"/>
    <w:rsid w:val="0057521C"/>
    <w:rsid w:val="00575BE1"/>
    <w:rsid w:val="00577447"/>
    <w:rsid w:val="00577CC0"/>
    <w:rsid w:val="00577E89"/>
    <w:rsid w:val="00577F23"/>
    <w:rsid w:val="00577F85"/>
    <w:rsid w:val="005805B7"/>
    <w:rsid w:val="00581248"/>
    <w:rsid w:val="00585D9E"/>
    <w:rsid w:val="00586A37"/>
    <w:rsid w:val="005870BE"/>
    <w:rsid w:val="005927DA"/>
    <w:rsid w:val="00593B2F"/>
    <w:rsid w:val="00594345"/>
    <w:rsid w:val="00596240"/>
    <w:rsid w:val="005A0E41"/>
    <w:rsid w:val="005A0EC9"/>
    <w:rsid w:val="005A3196"/>
    <w:rsid w:val="005A3421"/>
    <w:rsid w:val="005A3524"/>
    <w:rsid w:val="005A4DFE"/>
    <w:rsid w:val="005A6029"/>
    <w:rsid w:val="005A64A8"/>
    <w:rsid w:val="005B0BCF"/>
    <w:rsid w:val="005B78F5"/>
    <w:rsid w:val="005C4D35"/>
    <w:rsid w:val="005C5E85"/>
    <w:rsid w:val="005C6043"/>
    <w:rsid w:val="005C69B8"/>
    <w:rsid w:val="005D05B8"/>
    <w:rsid w:val="005D3398"/>
    <w:rsid w:val="005D39E6"/>
    <w:rsid w:val="005D6CFA"/>
    <w:rsid w:val="005D7281"/>
    <w:rsid w:val="005E0344"/>
    <w:rsid w:val="005E1520"/>
    <w:rsid w:val="005E202C"/>
    <w:rsid w:val="005E46D5"/>
    <w:rsid w:val="005E6941"/>
    <w:rsid w:val="005F0213"/>
    <w:rsid w:val="005F0DE1"/>
    <w:rsid w:val="005F20D9"/>
    <w:rsid w:val="005F529C"/>
    <w:rsid w:val="005F583E"/>
    <w:rsid w:val="005F79FB"/>
    <w:rsid w:val="0060046C"/>
    <w:rsid w:val="00600B7A"/>
    <w:rsid w:val="0060173E"/>
    <w:rsid w:val="00601D9A"/>
    <w:rsid w:val="006027E9"/>
    <w:rsid w:val="006038BC"/>
    <w:rsid w:val="00603EA2"/>
    <w:rsid w:val="00607910"/>
    <w:rsid w:val="0061082D"/>
    <w:rsid w:val="00610B61"/>
    <w:rsid w:val="006134F1"/>
    <w:rsid w:val="00613AB6"/>
    <w:rsid w:val="00614E15"/>
    <w:rsid w:val="0061668E"/>
    <w:rsid w:val="0061679D"/>
    <w:rsid w:val="0061724D"/>
    <w:rsid w:val="00620243"/>
    <w:rsid w:val="0062055E"/>
    <w:rsid w:val="006222CB"/>
    <w:rsid w:val="00623DC5"/>
    <w:rsid w:val="006240A5"/>
    <w:rsid w:val="0062593F"/>
    <w:rsid w:val="006265E5"/>
    <w:rsid w:val="006269B5"/>
    <w:rsid w:val="00627B79"/>
    <w:rsid w:val="00631572"/>
    <w:rsid w:val="00633893"/>
    <w:rsid w:val="0063546E"/>
    <w:rsid w:val="00644B82"/>
    <w:rsid w:val="00646CAC"/>
    <w:rsid w:val="006515FD"/>
    <w:rsid w:val="00654E00"/>
    <w:rsid w:val="00656CBA"/>
    <w:rsid w:val="00657079"/>
    <w:rsid w:val="00665177"/>
    <w:rsid w:val="00665E66"/>
    <w:rsid w:val="00671FB2"/>
    <w:rsid w:val="00672A13"/>
    <w:rsid w:val="00675053"/>
    <w:rsid w:val="00675FC6"/>
    <w:rsid w:val="00677705"/>
    <w:rsid w:val="00682ABD"/>
    <w:rsid w:val="0068328E"/>
    <w:rsid w:val="006845EE"/>
    <w:rsid w:val="00697656"/>
    <w:rsid w:val="006A03F8"/>
    <w:rsid w:val="006A0547"/>
    <w:rsid w:val="006A07F1"/>
    <w:rsid w:val="006A6788"/>
    <w:rsid w:val="006A7296"/>
    <w:rsid w:val="006B0283"/>
    <w:rsid w:val="006B0C07"/>
    <w:rsid w:val="006B3F78"/>
    <w:rsid w:val="006B4621"/>
    <w:rsid w:val="006B47E6"/>
    <w:rsid w:val="006B54D7"/>
    <w:rsid w:val="006B6A5F"/>
    <w:rsid w:val="006C0465"/>
    <w:rsid w:val="006C0B11"/>
    <w:rsid w:val="006C4197"/>
    <w:rsid w:val="006C6C9C"/>
    <w:rsid w:val="006D4DAF"/>
    <w:rsid w:val="006E29EE"/>
    <w:rsid w:val="006E307E"/>
    <w:rsid w:val="006E45BA"/>
    <w:rsid w:val="006E4E79"/>
    <w:rsid w:val="006E7C48"/>
    <w:rsid w:val="006F0699"/>
    <w:rsid w:val="006F48C2"/>
    <w:rsid w:val="006F48CB"/>
    <w:rsid w:val="006F4FE6"/>
    <w:rsid w:val="006F7185"/>
    <w:rsid w:val="00702F3E"/>
    <w:rsid w:val="0070362C"/>
    <w:rsid w:val="007054EA"/>
    <w:rsid w:val="00705944"/>
    <w:rsid w:val="00705B56"/>
    <w:rsid w:val="00707018"/>
    <w:rsid w:val="007076E6"/>
    <w:rsid w:val="00707C67"/>
    <w:rsid w:val="00710029"/>
    <w:rsid w:val="007117DA"/>
    <w:rsid w:val="007123D5"/>
    <w:rsid w:val="00713D59"/>
    <w:rsid w:val="0071689D"/>
    <w:rsid w:val="007258E8"/>
    <w:rsid w:val="00725FD2"/>
    <w:rsid w:val="0073070C"/>
    <w:rsid w:val="007324D9"/>
    <w:rsid w:val="00733225"/>
    <w:rsid w:val="00734629"/>
    <w:rsid w:val="007359BF"/>
    <w:rsid w:val="00735B5B"/>
    <w:rsid w:val="00736B53"/>
    <w:rsid w:val="00737DBD"/>
    <w:rsid w:val="00740DB3"/>
    <w:rsid w:val="00743730"/>
    <w:rsid w:val="007457CC"/>
    <w:rsid w:val="00746D7A"/>
    <w:rsid w:val="00747A1C"/>
    <w:rsid w:val="00751120"/>
    <w:rsid w:val="00754339"/>
    <w:rsid w:val="00754A43"/>
    <w:rsid w:val="00755FF4"/>
    <w:rsid w:val="00756B6A"/>
    <w:rsid w:val="007602B7"/>
    <w:rsid w:val="0076074A"/>
    <w:rsid w:val="0076178A"/>
    <w:rsid w:val="007639BA"/>
    <w:rsid w:val="00767D9E"/>
    <w:rsid w:val="00767FD1"/>
    <w:rsid w:val="007721B2"/>
    <w:rsid w:val="0077560E"/>
    <w:rsid w:val="007766A1"/>
    <w:rsid w:val="0077753C"/>
    <w:rsid w:val="00780179"/>
    <w:rsid w:val="007803FF"/>
    <w:rsid w:val="00780B75"/>
    <w:rsid w:val="00782FA9"/>
    <w:rsid w:val="00784CC4"/>
    <w:rsid w:val="00786CF2"/>
    <w:rsid w:val="00787813"/>
    <w:rsid w:val="00795E8D"/>
    <w:rsid w:val="00797B5E"/>
    <w:rsid w:val="007A2A62"/>
    <w:rsid w:val="007A33F7"/>
    <w:rsid w:val="007A736D"/>
    <w:rsid w:val="007A7876"/>
    <w:rsid w:val="007B12F3"/>
    <w:rsid w:val="007B30EE"/>
    <w:rsid w:val="007B32EF"/>
    <w:rsid w:val="007B6E0D"/>
    <w:rsid w:val="007B7E97"/>
    <w:rsid w:val="007C0C78"/>
    <w:rsid w:val="007C1382"/>
    <w:rsid w:val="007C36D1"/>
    <w:rsid w:val="007C3FDA"/>
    <w:rsid w:val="007C5A19"/>
    <w:rsid w:val="007C605E"/>
    <w:rsid w:val="007C6A8C"/>
    <w:rsid w:val="007C7D00"/>
    <w:rsid w:val="007D398F"/>
    <w:rsid w:val="007D5189"/>
    <w:rsid w:val="007D54D5"/>
    <w:rsid w:val="007D698A"/>
    <w:rsid w:val="007E4BC8"/>
    <w:rsid w:val="007E59DD"/>
    <w:rsid w:val="007E6993"/>
    <w:rsid w:val="007E73F7"/>
    <w:rsid w:val="007E7FE1"/>
    <w:rsid w:val="007F1696"/>
    <w:rsid w:val="007F1825"/>
    <w:rsid w:val="007F283E"/>
    <w:rsid w:val="007F3146"/>
    <w:rsid w:val="007F4650"/>
    <w:rsid w:val="007F49EA"/>
    <w:rsid w:val="007F4D5E"/>
    <w:rsid w:val="00800B18"/>
    <w:rsid w:val="0080319E"/>
    <w:rsid w:val="00805997"/>
    <w:rsid w:val="00805A7E"/>
    <w:rsid w:val="00805CFE"/>
    <w:rsid w:val="008074BF"/>
    <w:rsid w:val="00814A2D"/>
    <w:rsid w:val="00814F26"/>
    <w:rsid w:val="00816942"/>
    <w:rsid w:val="00822186"/>
    <w:rsid w:val="0082219B"/>
    <w:rsid w:val="00824032"/>
    <w:rsid w:val="0082478A"/>
    <w:rsid w:val="00826D2C"/>
    <w:rsid w:val="00826D40"/>
    <w:rsid w:val="00827997"/>
    <w:rsid w:val="00831F9A"/>
    <w:rsid w:val="00833E81"/>
    <w:rsid w:val="00834715"/>
    <w:rsid w:val="00836F2B"/>
    <w:rsid w:val="008378E9"/>
    <w:rsid w:val="00840923"/>
    <w:rsid w:val="008500AC"/>
    <w:rsid w:val="00850DE9"/>
    <w:rsid w:val="00851B41"/>
    <w:rsid w:val="00851EAF"/>
    <w:rsid w:val="00854108"/>
    <w:rsid w:val="0085422C"/>
    <w:rsid w:val="0085685D"/>
    <w:rsid w:val="008617D2"/>
    <w:rsid w:val="00863BF6"/>
    <w:rsid w:val="00867B91"/>
    <w:rsid w:val="008702F5"/>
    <w:rsid w:val="008708E8"/>
    <w:rsid w:val="008718F4"/>
    <w:rsid w:val="008757E5"/>
    <w:rsid w:val="008817F2"/>
    <w:rsid w:val="00883A7E"/>
    <w:rsid w:val="00883B40"/>
    <w:rsid w:val="00884EEE"/>
    <w:rsid w:val="008851C8"/>
    <w:rsid w:val="00891C3B"/>
    <w:rsid w:val="008922FA"/>
    <w:rsid w:val="008926D0"/>
    <w:rsid w:val="008929B0"/>
    <w:rsid w:val="00893DBE"/>
    <w:rsid w:val="008944A4"/>
    <w:rsid w:val="008946DF"/>
    <w:rsid w:val="00896252"/>
    <w:rsid w:val="00896536"/>
    <w:rsid w:val="00896812"/>
    <w:rsid w:val="008A076D"/>
    <w:rsid w:val="008A14AE"/>
    <w:rsid w:val="008A2D73"/>
    <w:rsid w:val="008A6405"/>
    <w:rsid w:val="008A721B"/>
    <w:rsid w:val="008A7879"/>
    <w:rsid w:val="008A7DD0"/>
    <w:rsid w:val="008B01C0"/>
    <w:rsid w:val="008B2258"/>
    <w:rsid w:val="008B2D42"/>
    <w:rsid w:val="008B4106"/>
    <w:rsid w:val="008B5224"/>
    <w:rsid w:val="008B654B"/>
    <w:rsid w:val="008B7DA5"/>
    <w:rsid w:val="008C2EAE"/>
    <w:rsid w:val="008C35AA"/>
    <w:rsid w:val="008C4700"/>
    <w:rsid w:val="008C5C69"/>
    <w:rsid w:val="008C799A"/>
    <w:rsid w:val="008C7B33"/>
    <w:rsid w:val="008D1B8B"/>
    <w:rsid w:val="008E08E0"/>
    <w:rsid w:val="008E2E98"/>
    <w:rsid w:val="008E4C3D"/>
    <w:rsid w:val="008F0036"/>
    <w:rsid w:val="008F26D8"/>
    <w:rsid w:val="008F422D"/>
    <w:rsid w:val="008F4F17"/>
    <w:rsid w:val="008F5A7A"/>
    <w:rsid w:val="009011A8"/>
    <w:rsid w:val="00902AC9"/>
    <w:rsid w:val="00904E72"/>
    <w:rsid w:val="00912DB3"/>
    <w:rsid w:val="0091313E"/>
    <w:rsid w:val="00915FC5"/>
    <w:rsid w:val="00916667"/>
    <w:rsid w:val="00917022"/>
    <w:rsid w:val="00917886"/>
    <w:rsid w:val="0092646E"/>
    <w:rsid w:val="00926F1E"/>
    <w:rsid w:val="00927922"/>
    <w:rsid w:val="009307BF"/>
    <w:rsid w:val="009312E0"/>
    <w:rsid w:val="00931309"/>
    <w:rsid w:val="0093250D"/>
    <w:rsid w:val="009342CB"/>
    <w:rsid w:val="009359B2"/>
    <w:rsid w:val="009359CA"/>
    <w:rsid w:val="00940498"/>
    <w:rsid w:val="00941584"/>
    <w:rsid w:val="009445E3"/>
    <w:rsid w:val="00944B05"/>
    <w:rsid w:val="00950D9B"/>
    <w:rsid w:val="009528A6"/>
    <w:rsid w:val="00953E4F"/>
    <w:rsid w:val="0096389C"/>
    <w:rsid w:val="009638DC"/>
    <w:rsid w:val="00965D12"/>
    <w:rsid w:val="009703AB"/>
    <w:rsid w:val="009711C2"/>
    <w:rsid w:val="00971D25"/>
    <w:rsid w:val="00972D62"/>
    <w:rsid w:val="009766E4"/>
    <w:rsid w:val="009821ED"/>
    <w:rsid w:val="00982389"/>
    <w:rsid w:val="00985AB6"/>
    <w:rsid w:val="00986864"/>
    <w:rsid w:val="009871F6"/>
    <w:rsid w:val="00987AE1"/>
    <w:rsid w:val="00987E2C"/>
    <w:rsid w:val="009956C1"/>
    <w:rsid w:val="00996D70"/>
    <w:rsid w:val="00996FC2"/>
    <w:rsid w:val="009978AC"/>
    <w:rsid w:val="009A300F"/>
    <w:rsid w:val="009A366F"/>
    <w:rsid w:val="009A3B57"/>
    <w:rsid w:val="009A6F6E"/>
    <w:rsid w:val="009A7531"/>
    <w:rsid w:val="009B1860"/>
    <w:rsid w:val="009B2D35"/>
    <w:rsid w:val="009B5A8D"/>
    <w:rsid w:val="009B6635"/>
    <w:rsid w:val="009C1812"/>
    <w:rsid w:val="009C274E"/>
    <w:rsid w:val="009C288E"/>
    <w:rsid w:val="009C4340"/>
    <w:rsid w:val="009C77B4"/>
    <w:rsid w:val="009C7802"/>
    <w:rsid w:val="009C7F52"/>
    <w:rsid w:val="009D1157"/>
    <w:rsid w:val="009D320D"/>
    <w:rsid w:val="009D542F"/>
    <w:rsid w:val="009D736E"/>
    <w:rsid w:val="009E0050"/>
    <w:rsid w:val="009E150E"/>
    <w:rsid w:val="009E200B"/>
    <w:rsid w:val="009E3726"/>
    <w:rsid w:val="009E4622"/>
    <w:rsid w:val="009E5605"/>
    <w:rsid w:val="009E63C9"/>
    <w:rsid w:val="009E6790"/>
    <w:rsid w:val="009E6D4C"/>
    <w:rsid w:val="009F1F88"/>
    <w:rsid w:val="009F6AB2"/>
    <w:rsid w:val="009F767A"/>
    <w:rsid w:val="00A03179"/>
    <w:rsid w:val="00A04E3D"/>
    <w:rsid w:val="00A05107"/>
    <w:rsid w:val="00A06F23"/>
    <w:rsid w:val="00A10911"/>
    <w:rsid w:val="00A145D2"/>
    <w:rsid w:val="00A17BDD"/>
    <w:rsid w:val="00A2135F"/>
    <w:rsid w:val="00A21550"/>
    <w:rsid w:val="00A237DC"/>
    <w:rsid w:val="00A2408A"/>
    <w:rsid w:val="00A2696F"/>
    <w:rsid w:val="00A30EE1"/>
    <w:rsid w:val="00A33E68"/>
    <w:rsid w:val="00A37EB5"/>
    <w:rsid w:val="00A45F6C"/>
    <w:rsid w:val="00A46E33"/>
    <w:rsid w:val="00A46F7C"/>
    <w:rsid w:val="00A519D5"/>
    <w:rsid w:val="00A5224D"/>
    <w:rsid w:val="00A52AF7"/>
    <w:rsid w:val="00A52E56"/>
    <w:rsid w:val="00A56310"/>
    <w:rsid w:val="00A57EF7"/>
    <w:rsid w:val="00A60900"/>
    <w:rsid w:val="00A65304"/>
    <w:rsid w:val="00A66DE4"/>
    <w:rsid w:val="00A6786E"/>
    <w:rsid w:val="00A679EC"/>
    <w:rsid w:val="00A711F5"/>
    <w:rsid w:val="00A73739"/>
    <w:rsid w:val="00A74D0E"/>
    <w:rsid w:val="00A77C80"/>
    <w:rsid w:val="00A803C9"/>
    <w:rsid w:val="00A819D4"/>
    <w:rsid w:val="00A849F7"/>
    <w:rsid w:val="00A854A3"/>
    <w:rsid w:val="00A86741"/>
    <w:rsid w:val="00A877AB"/>
    <w:rsid w:val="00A90F19"/>
    <w:rsid w:val="00A92A6F"/>
    <w:rsid w:val="00A93993"/>
    <w:rsid w:val="00A94416"/>
    <w:rsid w:val="00A947A7"/>
    <w:rsid w:val="00A9704A"/>
    <w:rsid w:val="00A97D0E"/>
    <w:rsid w:val="00AA07D8"/>
    <w:rsid w:val="00AA1461"/>
    <w:rsid w:val="00AA189F"/>
    <w:rsid w:val="00AA1CE0"/>
    <w:rsid w:val="00AA44F6"/>
    <w:rsid w:val="00AA4D34"/>
    <w:rsid w:val="00AA78B1"/>
    <w:rsid w:val="00AB1033"/>
    <w:rsid w:val="00AB1C03"/>
    <w:rsid w:val="00AB1D78"/>
    <w:rsid w:val="00AB4559"/>
    <w:rsid w:val="00AB7021"/>
    <w:rsid w:val="00AC0262"/>
    <w:rsid w:val="00AC2CA9"/>
    <w:rsid w:val="00AC473D"/>
    <w:rsid w:val="00AC5526"/>
    <w:rsid w:val="00AC5FFA"/>
    <w:rsid w:val="00AD0339"/>
    <w:rsid w:val="00AD0ADC"/>
    <w:rsid w:val="00AD0DAC"/>
    <w:rsid w:val="00AD3EE7"/>
    <w:rsid w:val="00AD4B30"/>
    <w:rsid w:val="00AD6BCF"/>
    <w:rsid w:val="00AE0958"/>
    <w:rsid w:val="00AE1B0B"/>
    <w:rsid w:val="00AE338F"/>
    <w:rsid w:val="00AE6DEC"/>
    <w:rsid w:val="00AE6F0C"/>
    <w:rsid w:val="00AE6F2D"/>
    <w:rsid w:val="00AE6F5A"/>
    <w:rsid w:val="00AE7D2C"/>
    <w:rsid w:val="00AF0647"/>
    <w:rsid w:val="00AF4839"/>
    <w:rsid w:val="00AF584F"/>
    <w:rsid w:val="00B010C8"/>
    <w:rsid w:val="00B01EE5"/>
    <w:rsid w:val="00B03C89"/>
    <w:rsid w:val="00B03CE0"/>
    <w:rsid w:val="00B04F55"/>
    <w:rsid w:val="00B06F7D"/>
    <w:rsid w:val="00B11494"/>
    <w:rsid w:val="00B11AC9"/>
    <w:rsid w:val="00B13D44"/>
    <w:rsid w:val="00B14750"/>
    <w:rsid w:val="00B14FBE"/>
    <w:rsid w:val="00B201E2"/>
    <w:rsid w:val="00B24A91"/>
    <w:rsid w:val="00B26428"/>
    <w:rsid w:val="00B26661"/>
    <w:rsid w:val="00B27813"/>
    <w:rsid w:val="00B33675"/>
    <w:rsid w:val="00B33B7D"/>
    <w:rsid w:val="00B37472"/>
    <w:rsid w:val="00B375DE"/>
    <w:rsid w:val="00B4218E"/>
    <w:rsid w:val="00B44B63"/>
    <w:rsid w:val="00B46913"/>
    <w:rsid w:val="00B47FAE"/>
    <w:rsid w:val="00B51F12"/>
    <w:rsid w:val="00B526E4"/>
    <w:rsid w:val="00B548F4"/>
    <w:rsid w:val="00B559E6"/>
    <w:rsid w:val="00B565FD"/>
    <w:rsid w:val="00B56C2A"/>
    <w:rsid w:val="00B6174B"/>
    <w:rsid w:val="00B64164"/>
    <w:rsid w:val="00B7138D"/>
    <w:rsid w:val="00B7488E"/>
    <w:rsid w:val="00B764E5"/>
    <w:rsid w:val="00B76FCB"/>
    <w:rsid w:val="00B802DC"/>
    <w:rsid w:val="00B80EA8"/>
    <w:rsid w:val="00B82B6A"/>
    <w:rsid w:val="00B82CEA"/>
    <w:rsid w:val="00B841F2"/>
    <w:rsid w:val="00B86F25"/>
    <w:rsid w:val="00B90406"/>
    <w:rsid w:val="00B92B36"/>
    <w:rsid w:val="00B93B81"/>
    <w:rsid w:val="00B94052"/>
    <w:rsid w:val="00B95758"/>
    <w:rsid w:val="00B95B8D"/>
    <w:rsid w:val="00BA0397"/>
    <w:rsid w:val="00BA0B5C"/>
    <w:rsid w:val="00BA13F0"/>
    <w:rsid w:val="00BA586E"/>
    <w:rsid w:val="00BA5F10"/>
    <w:rsid w:val="00BB007C"/>
    <w:rsid w:val="00BB30EF"/>
    <w:rsid w:val="00BB4B22"/>
    <w:rsid w:val="00BC18C0"/>
    <w:rsid w:val="00BC1B30"/>
    <w:rsid w:val="00BC4D1B"/>
    <w:rsid w:val="00BC54D1"/>
    <w:rsid w:val="00BC5FA4"/>
    <w:rsid w:val="00BC63F3"/>
    <w:rsid w:val="00BC6CF4"/>
    <w:rsid w:val="00BD10BC"/>
    <w:rsid w:val="00BD3140"/>
    <w:rsid w:val="00BD3481"/>
    <w:rsid w:val="00BD3E0D"/>
    <w:rsid w:val="00BD55AE"/>
    <w:rsid w:val="00BD5909"/>
    <w:rsid w:val="00BD7A5B"/>
    <w:rsid w:val="00BE22D5"/>
    <w:rsid w:val="00BE2A0C"/>
    <w:rsid w:val="00BE3397"/>
    <w:rsid w:val="00BE3572"/>
    <w:rsid w:val="00BE4313"/>
    <w:rsid w:val="00BE4449"/>
    <w:rsid w:val="00BE4809"/>
    <w:rsid w:val="00BE639A"/>
    <w:rsid w:val="00BF0218"/>
    <w:rsid w:val="00BF09FE"/>
    <w:rsid w:val="00BF6CFB"/>
    <w:rsid w:val="00BF7284"/>
    <w:rsid w:val="00C02A84"/>
    <w:rsid w:val="00C02AA7"/>
    <w:rsid w:val="00C03954"/>
    <w:rsid w:val="00C04A74"/>
    <w:rsid w:val="00C06611"/>
    <w:rsid w:val="00C06CB5"/>
    <w:rsid w:val="00C07C31"/>
    <w:rsid w:val="00C10E76"/>
    <w:rsid w:val="00C110FA"/>
    <w:rsid w:val="00C11879"/>
    <w:rsid w:val="00C11B71"/>
    <w:rsid w:val="00C12452"/>
    <w:rsid w:val="00C1280E"/>
    <w:rsid w:val="00C153F1"/>
    <w:rsid w:val="00C16FC6"/>
    <w:rsid w:val="00C172EF"/>
    <w:rsid w:val="00C17BBC"/>
    <w:rsid w:val="00C209AA"/>
    <w:rsid w:val="00C20AF8"/>
    <w:rsid w:val="00C26176"/>
    <w:rsid w:val="00C27691"/>
    <w:rsid w:val="00C3121F"/>
    <w:rsid w:val="00C31A51"/>
    <w:rsid w:val="00C31E7A"/>
    <w:rsid w:val="00C32CF8"/>
    <w:rsid w:val="00C40FE2"/>
    <w:rsid w:val="00C41890"/>
    <w:rsid w:val="00C469DE"/>
    <w:rsid w:val="00C51903"/>
    <w:rsid w:val="00C60573"/>
    <w:rsid w:val="00C63EB7"/>
    <w:rsid w:val="00C6663F"/>
    <w:rsid w:val="00C6696D"/>
    <w:rsid w:val="00C67290"/>
    <w:rsid w:val="00C71BE7"/>
    <w:rsid w:val="00C824AD"/>
    <w:rsid w:val="00C82641"/>
    <w:rsid w:val="00C83D94"/>
    <w:rsid w:val="00C84553"/>
    <w:rsid w:val="00C85482"/>
    <w:rsid w:val="00C85529"/>
    <w:rsid w:val="00C86EF3"/>
    <w:rsid w:val="00C879F8"/>
    <w:rsid w:val="00C87BD4"/>
    <w:rsid w:val="00C93ADA"/>
    <w:rsid w:val="00C93EC0"/>
    <w:rsid w:val="00C95FD8"/>
    <w:rsid w:val="00CA0C12"/>
    <w:rsid w:val="00CA282C"/>
    <w:rsid w:val="00CA4204"/>
    <w:rsid w:val="00CA4297"/>
    <w:rsid w:val="00CA67C8"/>
    <w:rsid w:val="00CA7940"/>
    <w:rsid w:val="00CB1A8F"/>
    <w:rsid w:val="00CB20D1"/>
    <w:rsid w:val="00CB31D8"/>
    <w:rsid w:val="00CB77A1"/>
    <w:rsid w:val="00CC1CC7"/>
    <w:rsid w:val="00CC24ED"/>
    <w:rsid w:val="00CC318C"/>
    <w:rsid w:val="00CC4A01"/>
    <w:rsid w:val="00CC52F7"/>
    <w:rsid w:val="00CC5925"/>
    <w:rsid w:val="00CC7744"/>
    <w:rsid w:val="00CD0809"/>
    <w:rsid w:val="00CD0B57"/>
    <w:rsid w:val="00CD1854"/>
    <w:rsid w:val="00CD782C"/>
    <w:rsid w:val="00CE1B80"/>
    <w:rsid w:val="00CE1F0A"/>
    <w:rsid w:val="00CE3183"/>
    <w:rsid w:val="00CE4EDE"/>
    <w:rsid w:val="00CE6EB8"/>
    <w:rsid w:val="00CF110F"/>
    <w:rsid w:val="00CF12CD"/>
    <w:rsid w:val="00CF2AFB"/>
    <w:rsid w:val="00CF4B7A"/>
    <w:rsid w:val="00CF4E71"/>
    <w:rsid w:val="00CF5B73"/>
    <w:rsid w:val="00CF754F"/>
    <w:rsid w:val="00D060AC"/>
    <w:rsid w:val="00D07746"/>
    <w:rsid w:val="00D106E8"/>
    <w:rsid w:val="00D13EF7"/>
    <w:rsid w:val="00D14544"/>
    <w:rsid w:val="00D16B01"/>
    <w:rsid w:val="00D16CCC"/>
    <w:rsid w:val="00D204EE"/>
    <w:rsid w:val="00D206CA"/>
    <w:rsid w:val="00D2106D"/>
    <w:rsid w:val="00D21AA6"/>
    <w:rsid w:val="00D22058"/>
    <w:rsid w:val="00D2396A"/>
    <w:rsid w:val="00D2745A"/>
    <w:rsid w:val="00D324EF"/>
    <w:rsid w:val="00D337E1"/>
    <w:rsid w:val="00D368FF"/>
    <w:rsid w:val="00D37C8B"/>
    <w:rsid w:val="00D41A80"/>
    <w:rsid w:val="00D431F5"/>
    <w:rsid w:val="00D4543F"/>
    <w:rsid w:val="00D50A74"/>
    <w:rsid w:val="00D51009"/>
    <w:rsid w:val="00D51AD7"/>
    <w:rsid w:val="00D51F60"/>
    <w:rsid w:val="00D5238C"/>
    <w:rsid w:val="00D53486"/>
    <w:rsid w:val="00D55296"/>
    <w:rsid w:val="00D5582E"/>
    <w:rsid w:val="00D57067"/>
    <w:rsid w:val="00D5727A"/>
    <w:rsid w:val="00D606B0"/>
    <w:rsid w:val="00D615F1"/>
    <w:rsid w:val="00D631B6"/>
    <w:rsid w:val="00D649D7"/>
    <w:rsid w:val="00D659CB"/>
    <w:rsid w:val="00D65F74"/>
    <w:rsid w:val="00D6640D"/>
    <w:rsid w:val="00D66928"/>
    <w:rsid w:val="00D74B20"/>
    <w:rsid w:val="00D82224"/>
    <w:rsid w:val="00D82E79"/>
    <w:rsid w:val="00D86377"/>
    <w:rsid w:val="00D86FBF"/>
    <w:rsid w:val="00D917F0"/>
    <w:rsid w:val="00D93330"/>
    <w:rsid w:val="00D9412F"/>
    <w:rsid w:val="00D9517F"/>
    <w:rsid w:val="00D9600F"/>
    <w:rsid w:val="00DA28CE"/>
    <w:rsid w:val="00DA60D6"/>
    <w:rsid w:val="00DA6C59"/>
    <w:rsid w:val="00DB0969"/>
    <w:rsid w:val="00DB0E6B"/>
    <w:rsid w:val="00DB1EE2"/>
    <w:rsid w:val="00DB1F40"/>
    <w:rsid w:val="00DB24A8"/>
    <w:rsid w:val="00DB2946"/>
    <w:rsid w:val="00DB32E2"/>
    <w:rsid w:val="00DB4C52"/>
    <w:rsid w:val="00DB5AC2"/>
    <w:rsid w:val="00DB65CB"/>
    <w:rsid w:val="00DB7DC4"/>
    <w:rsid w:val="00DC0F5C"/>
    <w:rsid w:val="00DC2E11"/>
    <w:rsid w:val="00DC36B2"/>
    <w:rsid w:val="00DC4E49"/>
    <w:rsid w:val="00DC72EC"/>
    <w:rsid w:val="00DD0214"/>
    <w:rsid w:val="00DD075D"/>
    <w:rsid w:val="00DD2897"/>
    <w:rsid w:val="00DD40B0"/>
    <w:rsid w:val="00DD6F84"/>
    <w:rsid w:val="00DE1C25"/>
    <w:rsid w:val="00DE247B"/>
    <w:rsid w:val="00DE7843"/>
    <w:rsid w:val="00DF0EF0"/>
    <w:rsid w:val="00DF1EB8"/>
    <w:rsid w:val="00DF24A5"/>
    <w:rsid w:val="00DF334B"/>
    <w:rsid w:val="00DF56F6"/>
    <w:rsid w:val="00E00E39"/>
    <w:rsid w:val="00E013C7"/>
    <w:rsid w:val="00E01AE5"/>
    <w:rsid w:val="00E03DF9"/>
    <w:rsid w:val="00E046FC"/>
    <w:rsid w:val="00E12145"/>
    <w:rsid w:val="00E130E4"/>
    <w:rsid w:val="00E1433C"/>
    <w:rsid w:val="00E15491"/>
    <w:rsid w:val="00E16008"/>
    <w:rsid w:val="00E1690E"/>
    <w:rsid w:val="00E176DE"/>
    <w:rsid w:val="00E200CC"/>
    <w:rsid w:val="00E20252"/>
    <w:rsid w:val="00E22799"/>
    <w:rsid w:val="00E238BD"/>
    <w:rsid w:val="00E32869"/>
    <w:rsid w:val="00E429F6"/>
    <w:rsid w:val="00E44126"/>
    <w:rsid w:val="00E44901"/>
    <w:rsid w:val="00E458DC"/>
    <w:rsid w:val="00E465E0"/>
    <w:rsid w:val="00E46925"/>
    <w:rsid w:val="00E47A61"/>
    <w:rsid w:val="00E53390"/>
    <w:rsid w:val="00E5451F"/>
    <w:rsid w:val="00E56585"/>
    <w:rsid w:val="00E56F36"/>
    <w:rsid w:val="00E57FF0"/>
    <w:rsid w:val="00E60B28"/>
    <w:rsid w:val="00E620E0"/>
    <w:rsid w:val="00E67A6D"/>
    <w:rsid w:val="00E7435A"/>
    <w:rsid w:val="00E74C77"/>
    <w:rsid w:val="00E8124E"/>
    <w:rsid w:val="00E8402A"/>
    <w:rsid w:val="00E843E0"/>
    <w:rsid w:val="00E85658"/>
    <w:rsid w:val="00E86888"/>
    <w:rsid w:val="00E86C9D"/>
    <w:rsid w:val="00E90D98"/>
    <w:rsid w:val="00E916FF"/>
    <w:rsid w:val="00E91B75"/>
    <w:rsid w:val="00E9255A"/>
    <w:rsid w:val="00E940C0"/>
    <w:rsid w:val="00E94CA5"/>
    <w:rsid w:val="00EA0B08"/>
    <w:rsid w:val="00EA1C11"/>
    <w:rsid w:val="00EA207E"/>
    <w:rsid w:val="00EB1E9B"/>
    <w:rsid w:val="00EB698A"/>
    <w:rsid w:val="00EB71F5"/>
    <w:rsid w:val="00EC0731"/>
    <w:rsid w:val="00EC0B09"/>
    <w:rsid w:val="00EC758B"/>
    <w:rsid w:val="00ED1F71"/>
    <w:rsid w:val="00ED3D63"/>
    <w:rsid w:val="00ED63FE"/>
    <w:rsid w:val="00ED68D1"/>
    <w:rsid w:val="00ED7187"/>
    <w:rsid w:val="00EE125D"/>
    <w:rsid w:val="00EE2AFE"/>
    <w:rsid w:val="00EE5D81"/>
    <w:rsid w:val="00EF1154"/>
    <w:rsid w:val="00EF47EC"/>
    <w:rsid w:val="00EF4CBD"/>
    <w:rsid w:val="00EF541C"/>
    <w:rsid w:val="00EF5BE4"/>
    <w:rsid w:val="00EF5F7C"/>
    <w:rsid w:val="00EF625A"/>
    <w:rsid w:val="00EF7EBE"/>
    <w:rsid w:val="00F06002"/>
    <w:rsid w:val="00F06DE7"/>
    <w:rsid w:val="00F07A82"/>
    <w:rsid w:val="00F07B11"/>
    <w:rsid w:val="00F115B0"/>
    <w:rsid w:val="00F16BE7"/>
    <w:rsid w:val="00F2022B"/>
    <w:rsid w:val="00F202B8"/>
    <w:rsid w:val="00F2202A"/>
    <w:rsid w:val="00F24630"/>
    <w:rsid w:val="00F26E1C"/>
    <w:rsid w:val="00F30EFD"/>
    <w:rsid w:val="00F31C40"/>
    <w:rsid w:val="00F40659"/>
    <w:rsid w:val="00F40C53"/>
    <w:rsid w:val="00F44365"/>
    <w:rsid w:val="00F447A2"/>
    <w:rsid w:val="00F44C9D"/>
    <w:rsid w:val="00F45D01"/>
    <w:rsid w:val="00F4651D"/>
    <w:rsid w:val="00F4703B"/>
    <w:rsid w:val="00F5118B"/>
    <w:rsid w:val="00F519DF"/>
    <w:rsid w:val="00F51FC4"/>
    <w:rsid w:val="00F55AEB"/>
    <w:rsid w:val="00F5601E"/>
    <w:rsid w:val="00F56171"/>
    <w:rsid w:val="00F5771C"/>
    <w:rsid w:val="00F65054"/>
    <w:rsid w:val="00F678E0"/>
    <w:rsid w:val="00F67BAC"/>
    <w:rsid w:val="00F722BF"/>
    <w:rsid w:val="00F768E1"/>
    <w:rsid w:val="00F80501"/>
    <w:rsid w:val="00F81DC4"/>
    <w:rsid w:val="00F8244B"/>
    <w:rsid w:val="00F82AAF"/>
    <w:rsid w:val="00F82E62"/>
    <w:rsid w:val="00F85B60"/>
    <w:rsid w:val="00F86A7C"/>
    <w:rsid w:val="00F86F19"/>
    <w:rsid w:val="00F9703B"/>
    <w:rsid w:val="00FA0E61"/>
    <w:rsid w:val="00FA3772"/>
    <w:rsid w:val="00FA56D3"/>
    <w:rsid w:val="00FA5745"/>
    <w:rsid w:val="00FA61A5"/>
    <w:rsid w:val="00FB03FC"/>
    <w:rsid w:val="00FB4A1B"/>
    <w:rsid w:val="00FB68DD"/>
    <w:rsid w:val="00FB774A"/>
    <w:rsid w:val="00FC162A"/>
    <w:rsid w:val="00FC1EA7"/>
    <w:rsid w:val="00FC2923"/>
    <w:rsid w:val="00FC6064"/>
    <w:rsid w:val="00FD03DA"/>
    <w:rsid w:val="00FD098A"/>
    <w:rsid w:val="00FD161B"/>
    <w:rsid w:val="00FD162F"/>
    <w:rsid w:val="00FD3A6D"/>
    <w:rsid w:val="00FD41E7"/>
    <w:rsid w:val="00FD4AC3"/>
    <w:rsid w:val="00FD50DC"/>
    <w:rsid w:val="00FD68EB"/>
    <w:rsid w:val="00FD7534"/>
    <w:rsid w:val="00FD7A58"/>
    <w:rsid w:val="00FD7BD2"/>
    <w:rsid w:val="00FE17EB"/>
    <w:rsid w:val="00FE1B44"/>
    <w:rsid w:val="00FE2E5E"/>
    <w:rsid w:val="00FE38C8"/>
    <w:rsid w:val="00FF2E0A"/>
    <w:rsid w:val="00FF378A"/>
    <w:rsid w:val="00FF462B"/>
    <w:rsid w:val="00FF6944"/>
    <w:rsid w:val="00FF6A70"/>
    <w:rsid w:val="00FF7481"/>
    <w:rsid w:val="04657612"/>
    <w:rsid w:val="106B2FD0"/>
    <w:rsid w:val="11180D4F"/>
    <w:rsid w:val="130FB08B"/>
    <w:rsid w:val="139E65B3"/>
    <w:rsid w:val="1BECE724"/>
    <w:rsid w:val="1EB31E2F"/>
    <w:rsid w:val="46760102"/>
    <w:rsid w:val="5245B16D"/>
    <w:rsid w:val="53B53598"/>
    <w:rsid w:val="60522A08"/>
    <w:rsid w:val="649F7D06"/>
    <w:rsid w:val="6CB3FA0A"/>
    <w:rsid w:val="7AE8EB05"/>
    <w:rsid w:val="7B3CA78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987012"/>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7"/>
    <w:rsid w:val="00B841F2"/>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AC5FFA"/>
    <w:pPr>
      <w:spacing w:after="360"/>
    </w:pPr>
    <w:rPr>
      <w:rFonts w:ascii="Century Gothic" w:hAnsi="Century Gothic"/>
      <w:b/>
      <w:color w:val="00553D"/>
      <w:sz w:val="40"/>
    </w:rPr>
  </w:style>
  <w:style w:type="paragraph" w:styleId="TOC1">
    <w:name w:val="toc 1"/>
    <w:basedOn w:val="BodyText"/>
    <w:next w:val="BodyText"/>
    <w:autoRedefine/>
    <w:uiPriority w:val="39"/>
    <w:unhideWhenUsed/>
    <w:rsid w:val="00AC5FFA"/>
    <w:pPr>
      <w:tabs>
        <w:tab w:val="right" w:leader="dot" w:pos="9435"/>
      </w:tabs>
      <w:spacing w:after="60"/>
    </w:pPr>
    <w:rPr>
      <w:b/>
      <w:sz w:val="24"/>
    </w:rPr>
  </w:style>
  <w:style w:type="paragraph" w:styleId="TOC2">
    <w:name w:val="toc 2"/>
    <w:basedOn w:val="BodyText"/>
    <w:next w:val="BodyText"/>
    <w:autoRedefine/>
    <w:uiPriority w:val="39"/>
    <w:unhideWhenUsed/>
    <w:rsid w:val="00AC5FFA"/>
    <w:pPr>
      <w:tabs>
        <w:tab w:val="right" w:leader="dot" w:pos="9435"/>
      </w:tabs>
      <w:spacing w:after="60"/>
      <w:ind w:left="221"/>
    </w:pPr>
  </w:style>
  <w:style w:type="paragraph" w:styleId="TOC3">
    <w:name w:val="toc 3"/>
    <w:basedOn w:val="BodyText"/>
    <w:next w:val="BodyText"/>
    <w:autoRedefine/>
    <w:uiPriority w:val="39"/>
    <w:unhideWhenUsed/>
    <w:rsid w:val="00AC5FFA"/>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AC5FFA"/>
    <w:rPr>
      <w:rFonts w:ascii="Century Gothic" w:hAnsi="Century Gothic"/>
    </w:rPr>
  </w:style>
  <w:style w:type="paragraph" w:customStyle="1" w:styleId="Heading2numbered">
    <w:name w:val="Heading 2 (numbered)"/>
    <w:basedOn w:val="Heading2"/>
    <w:next w:val="BodyText"/>
    <w:qFormat/>
    <w:rsid w:val="00AC5FFA"/>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AC5FFA"/>
    <w:pPr>
      <w:spacing w:after="120" w:line="360" w:lineRule="auto"/>
    </w:pPr>
    <w:rPr>
      <w:rFonts w:ascii="Century Gothic" w:hAnsi="Century Gothic"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AC5FFA"/>
    <w:rPr>
      <w:rFonts w:ascii="Century Gothic" w:hAnsi="Century Gothic" w:cs="Arial"/>
      <w:sz w:val="22"/>
      <w:szCs w:val="22"/>
      <w:lang w:eastAsia="en-US"/>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paragraph" w:customStyle="1" w:styleId="VECBackCover">
    <w:name w:val="VEC BackCover"/>
    <w:basedOn w:val="Normal"/>
    <w:semiHidden/>
    <w:qFormat/>
    <w:rsid w:val="00261FD2"/>
    <w:pPr>
      <w:spacing w:line="220" w:lineRule="atLeast"/>
    </w:pPr>
    <w:rPr>
      <w:rFonts w:ascii="Century Gothic" w:hAnsi="Century Gothic"/>
      <w:spacing w:val="2"/>
      <w:sz w:val="17"/>
    </w:rPr>
  </w:style>
  <w:style w:type="paragraph" w:styleId="TOC4">
    <w:name w:val="toc 4"/>
    <w:basedOn w:val="Normal"/>
    <w:next w:val="Normal"/>
    <w:autoRedefine/>
    <w:uiPriority w:val="39"/>
    <w:semiHidden/>
    <w:unhideWhenUsed/>
    <w:rsid w:val="00AC5FFA"/>
    <w:pPr>
      <w:spacing w:after="100"/>
      <w:ind w:left="660"/>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61465">
      <w:bodyDiv w:val="1"/>
      <w:marLeft w:val="0"/>
      <w:marRight w:val="0"/>
      <w:marTop w:val="0"/>
      <w:marBottom w:val="0"/>
      <w:divBdr>
        <w:top w:val="none" w:sz="0" w:space="0" w:color="auto"/>
        <w:left w:val="none" w:sz="0" w:space="0" w:color="auto"/>
        <w:bottom w:val="none" w:sz="0" w:space="0" w:color="auto"/>
        <w:right w:val="none" w:sz="0" w:space="0" w:color="auto"/>
      </w:divBdr>
      <w:divsChild>
        <w:div w:id="1849716605">
          <w:marLeft w:val="274"/>
          <w:marRight w:val="0"/>
          <w:marTop w:val="0"/>
          <w:marBottom w:val="0"/>
          <w:divBdr>
            <w:top w:val="none" w:sz="0" w:space="0" w:color="auto"/>
            <w:left w:val="none" w:sz="0" w:space="0" w:color="auto"/>
            <w:bottom w:val="none" w:sz="0" w:space="0" w:color="auto"/>
            <w:right w:val="none" w:sz="0" w:space="0" w:color="auto"/>
          </w:divBdr>
        </w:div>
        <w:div w:id="1890721178">
          <w:marLeft w:val="274"/>
          <w:marRight w:val="0"/>
          <w:marTop w:val="0"/>
          <w:marBottom w:val="0"/>
          <w:divBdr>
            <w:top w:val="none" w:sz="0" w:space="0" w:color="auto"/>
            <w:left w:val="none" w:sz="0" w:space="0" w:color="auto"/>
            <w:bottom w:val="none" w:sz="0" w:space="0" w:color="auto"/>
            <w:right w:val="none" w:sz="0" w:space="0" w:color="auto"/>
          </w:divBdr>
        </w:div>
        <w:div w:id="286936848">
          <w:marLeft w:val="274"/>
          <w:marRight w:val="0"/>
          <w:marTop w:val="0"/>
          <w:marBottom w:val="0"/>
          <w:divBdr>
            <w:top w:val="none" w:sz="0" w:space="0" w:color="auto"/>
            <w:left w:val="none" w:sz="0" w:space="0" w:color="auto"/>
            <w:bottom w:val="none" w:sz="0" w:space="0" w:color="auto"/>
            <w:right w:val="none" w:sz="0" w:space="0" w:color="auto"/>
          </w:divBdr>
        </w:div>
        <w:div w:id="175727265">
          <w:marLeft w:val="274"/>
          <w:marRight w:val="0"/>
          <w:marTop w:val="0"/>
          <w:marBottom w:val="0"/>
          <w:divBdr>
            <w:top w:val="none" w:sz="0" w:space="0" w:color="auto"/>
            <w:left w:val="none" w:sz="0" w:space="0" w:color="auto"/>
            <w:bottom w:val="none" w:sz="0" w:space="0" w:color="auto"/>
            <w:right w:val="none" w:sz="0" w:space="0" w:color="auto"/>
          </w:divBdr>
        </w:div>
        <w:div w:id="1971476356">
          <w:marLeft w:val="274"/>
          <w:marRight w:val="0"/>
          <w:marTop w:val="0"/>
          <w:marBottom w:val="0"/>
          <w:divBdr>
            <w:top w:val="none" w:sz="0" w:space="0" w:color="auto"/>
            <w:left w:val="none" w:sz="0" w:space="0" w:color="auto"/>
            <w:bottom w:val="none" w:sz="0" w:space="0" w:color="auto"/>
            <w:right w:val="none" w:sz="0" w:space="0" w:color="auto"/>
          </w:divBdr>
        </w:div>
      </w:divsChild>
    </w:div>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vec.vic.gov.au" TargetMode="External"/><Relationship Id="rId20" Type="http://schemas.openxmlformats.org/officeDocument/2006/relationships/header" Target="head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forecast.id.com.au/hume/population-age-structure-map" TargetMode="External"/><Relationship Id="rId3" Type="http://schemas.openxmlformats.org/officeDocument/2006/relationships/hyperlink" Target="https://profile.id.com.au/hume/highlights-2016" TargetMode="External"/><Relationship Id="rId7" Type="http://schemas.openxmlformats.org/officeDocument/2006/relationships/hyperlink" Target="https://www.planning.vic.gov.au/land-use-and-population-research/victoria-in-future" TargetMode="External"/><Relationship Id="rId2" Type="http://schemas.openxmlformats.org/officeDocument/2006/relationships/hyperlink" Target="https://quickstats.censusdata.abs.gov.au/census_services/getproduct/census/2016/quickstat/LGA23270?opendocument" TargetMode="External"/><Relationship Id="rId1" Type="http://schemas.openxmlformats.org/officeDocument/2006/relationships/hyperlink" Target="https://profile.id.com.au/hume/seifa-disadvantage-small-area" TargetMode="External"/><Relationship Id="rId6" Type="http://schemas.openxmlformats.org/officeDocument/2006/relationships/hyperlink" Target="https://profile.id.com.au/hume/population-estimate" TargetMode="External"/><Relationship Id="rId5" Type="http://schemas.openxmlformats.org/officeDocument/2006/relationships/hyperlink" Target="https://www.hume.vic.gov.au/Services_For_You/Other_Services/Aboriginal_and_Torres_Strait_Islander_peoples" TargetMode="External"/><Relationship Id="rId4" Type="http://schemas.openxmlformats.org/officeDocument/2006/relationships/hyperlink" Target="https://www.aboriginalvictoria.vic.gov.au/acknowledgement-traditional-owners" TargetMode="External"/><Relationship Id="rId9" Type="http://schemas.openxmlformats.org/officeDocument/2006/relationships/hyperlink" Target="https://www.hume.vic.gov.au/About_Us_Contact_Details/Your_Council/Media_Publications_amp_Forms/Policies_Strategies/Strategies"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2.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4.xml><?xml version="1.0" encoding="utf-8"?>
<ds:datastoreItem xmlns:ds="http://schemas.openxmlformats.org/officeDocument/2006/customXml" ds:itemID="{633242D7-ECA2-491C-8C0B-8330760688D6}">
  <ds:schemaRef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purl.org/dc/terms/"/>
    <ds:schemaRef ds:uri="http://schemas.microsoft.com/sharepoint/v3/fields"/>
    <ds:schemaRef ds:uri="b5828b55-97ee-4323-bae4-e338fabde2b4"/>
    <ds:schemaRef ds:uri="c52bdd7a-1628-459c-be84-4a18e66071dd"/>
    <ds:schemaRef ds:uri="http://www.w3.org/XML/1998/namespace"/>
  </ds:schemaRefs>
</ds:datastoreItem>
</file>

<file path=customXml/itemProps5.xml><?xml version="1.0" encoding="utf-8"?>
<ds:datastoreItem xmlns:ds="http://schemas.openxmlformats.org/officeDocument/2006/customXml" ds:itemID="{928D9062-AEF7-4CBB-BB10-3B054E8F1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6553</Words>
  <Characters>37354</Characters>
  <Application>Microsoft Office Word</Application>
  <DocSecurity>4</DocSecurity>
  <Lines>311</Lines>
  <Paragraphs>87</Paragraphs>
  <ScaleCrop>false</ScaleCrop>
  <HeadingPairs>
    <vt:vector size="2" baseType="variant">
      <vt:variant>
        <vt:lpstr>Title</vt:lpstr>
      </vt:variant>
      <vt:variant>
        <vt:i4>1</vt:i4>
      </vt:variant>
    </vt:vector>
  </HeadingPairs>
  <TitlesOfParts>
    <vt:vector size="1" baseType="lpstr">
      <vt:lpstr>Subdivision Review Final Report</vt:lpstr>
    </vt:vector>
  </TitlesOfParts>
  <Company>SHOSYS801</Company>
  <LinksUpToDate>false</LinksUpToDate>
  <CharactersWithSpaces>43820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Subdivision Review Final Report</dc:title>
  <dc:subject/>
  <dc:creator>VEC</dc:creator>
  <cp:keywords/>
  <cp:lastModifiedBy>Hien Doan</cp:lastModifiedBy>
  <cp:revision>2</cp:revision>
  <cp:lastPrinted>2020-02-13T23:24:00Z</cp:lastPrinted>
  <dcterms:created xsi:type="dcterms:W3CDTF">2020-04-21T03:29:00Z</dcterms:created>
  <dcterms:modified xsi:type="dcterms:W3CDTF">2020-04-21T03:29:00Z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