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67C" w:rsidRDefault="008F35CF">
      <w:pPr>
        <w:rPr>
          <w:rFonts w:ascii="Arial" w:eastAsiaTheme="majorEastAsia" w:hAnsi="Arial" w:cs="Arial"/>
          <w:b/>
          <w:bCs/>
          <w:color w:val="3C8133"/>
          <w:sz w:val="36"/>
          <w:szCs w:val="36"/>
        </w:rPr>
      </w:pPr>
      <w:bookmarkStart w:id="0" w:name="_GoBack"/>
      <w:bookmarkEnd w:id="0"/>
      <w:r>
        <w:rPr>
          <w:rFonts w:ascii="Arial" w:hAnsi="Arial" w:cs="Arial"/>
          <w:noProof/>
          <w:color w:val="3C8133"/>
          <w:sz w:val="36"/>
          <w:szCs w:val="36"/>
          <w:lang w:eastAsia="en-AU"/>
        </w:rPr>
        <w:drawing>
          <wp:anchor distT="0" distB="0" distL="114300" distR="114300" simplePos="0" relativeHeight="251658240" behindDoc="0" locked="0" layoutInCell="0" allowOverlap="0">
            <wp:simplePos x="0" y="0"/>
            <wp:positionH relativeFrom="page">
              <wp:align>center</wp:align>
            </wp:positionH>
            <wp:positionV relativeFrom="page">
              <wp:align>top</wp:align>
            </wp:positionV>
            <wp:extent cx="7560000" cy="10692000"/>
            <wp:effectExtent l="0" t="0" r="3175" b="0"/>
            <wp:wrapNone/>
            <wp:docPr id="3" name="Picture 3" title="Front cover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Enrolment Report Cover 2017_Page_1.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rsidR="0080767C">
        <w:rPr>
          <w:rFonts w:ascii="Arial" w:hAnsi="Arial" w:cs="Arial"/>
          <w:color w:val="3C8133"/>
          <w:sz w:val="36"/>
          <w:szCs w:val="36"/>
        </w:rPr>
        <w:br w:type="page"/>
      </w: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375885" w:rsidRDefault="00375885">
      <w:pPr>
        <w:rPr>
          <w:rFonts w:ascii="Arial" w:hAnsi="Arial" w:cs="Arial"/>
          <w:color w:val="3C8133"/>
          <w:sz w:val="36"/>
          <w:szCs w:val="36"/>
        </w:rPr>
      </w:pPr>
    </w:p>
    <w:p w:rsidR="00375885" w:rsidRDefault="00375885">
      <w:pPr>
        <w:rPr>
          <w:rFonts w:ascii="Arial" w:hAnsi="Arial" w:cs="Arial"/>
          <w:color w:val="3C8133"/>
          <w:sz w:val="36"/>
          <w:szCs w:val="36"/>
        </w:rPr>
      </w:pPr>
    </w:p>
    <w:p w:rsidR="00375885" w:rsidRDefault="00375885">
      <w:pPr>
        <w:rPr>
          <w:rFonts w:ascii="Arial" w:hAnsi="Arial" w:cs="Arial"/>
          <w:color w:val="3C8133"/>
          <w:sz w:val="36"/>
          <w:szCs w:val="36"/>
        </w:rPr>
      </w:pPr>
    </w:p>
    <w:p w:rsidR="00375885" w:rsidRDefault="00375885">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pPr>
        <w:rPr>
          <w:rFonts w:ascii="Arial" w:hAnsi="Arial" w:cs="Arial"/>
          <w:color w:val="3C8133"/>
          <w:sz w:val="36"/>
          <w:szCs w:val="36"/>
        </w:rPr>
      </w:pPr>
    </w:p>
    <w:p w:rsidR="0080767C" w:rsidRDefault="0080767C" w:rsidP="00375885">
      <w:pPr>
        <w:ind w:right="995"/>
        <w:rPr>
          <w:rFonts w:ascii="Arial" w:hAnsi="Arial" w:cs="Arial"/>
          <w:sz w:val="18"/>
          <w:szCs w:val="18"/>
        </w:rPr>
      </w:pPr>
      <w:r>
        <w:rPr>
          <w:rFonts w:ascii="Arial" w:hAnsi="Arial" w:cs="Arial"/>
          <w:sz w:val="18"/>
          <w:szCs w:val="18"/>
        </w:rPr>
        <w:t>© State of Victoria (Victorian Electoral Commission) 2017</w:t>
      </w:r>
    </w:p>
    <w:p w:rsidR="00375885" w:rsidRDefault="00375885" w:rsidP="00375885">
      <w:pPr>
        <w:ind w:right="995"/>
        <w:rPr>
          <w:rFonts w:ascii="Arial" w:hAnsi="Arial" w:cs="Arial"/>
          <w:sz w:val="18"/>
          <w:szCs w:val="18"/>
        </w:rPr>
      </w:pPr>
      <w:r>
        <w:rPr>
          <w:rFonts w:ascii="Arial" w:hAnsi="Arial" w:cs="Arial"/>
          <w:noProof/>
          <w:color w:val="3C8133"/>
          <w:sz w:val="36"/>
          <w:szCs w:val="36"/>
          <w:lang w:eastAsia="en-AU"/>
        </w:rPr>
        <w:drawing>
          <wp:inline distT="0" distB="0" distL="0" distR="0" wp14:anchorId="70A9EA62" wp14:editId="4191B075">
            <wp:extent cx="986400" cy="345600"/>
            <wp:effectExtent l="0" t="0" r="4445" b="0"/>
            <wp:docPr id="2" name="Picture 2" descr="This work, Direct Enrolment Report, is licensed under a Creative Commons Attribution Non-Derivatives 4.0 licence (http://creativecommons.org/licenses/by-nd/4.0/).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 " title="Creative common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d - for use in manuals and handbook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inline>
        </w:drawing>
      </w:r>
    </w:p>
    <w:p w:rsidR="00375885" w:rsidRPr="00375885" w:rsidRDefault="0080767C" w:rsidP="00375885">
      <w:pPr>
        <w:ind w:right="995"/>
        <w:rPr>
          <w:rFonts w:ascii="Arial" w:hAnsi="Arial" w:cs="Arial"/>
          <w:sz w:val="18"/>
          <w:szCs w:val="18"/>
        </w:rPr>
        <w:sectPr w:rsidR="00375885" w:rsidRPr="00375885" w:rsidSect="00375885">
          <w:footerReference w:type="default" r:id="rId10"/>
          <w:pgSz w:w="11906" w:h="16838"/>
          <w:pgMar w:top="720" w:right="720" w:bottom="720" w:left="720" w:header="708" w:footer="708" w:gutter="0"/>
          <w:cols w:space="708"/>
          <w:docGrid w:linePitch="360"/>
        </w:sectPr>
      </w:pPr>
      <w:r>
        <w:rPr>
          <w:rFonts w:ascii="Arial" w:hAnsi="Arial" w:cs="Arial"/>
          <w:sz w:val="18"/>
          <w:szCs w:val="18"/>
        </w:rPr>
        <w:t xml:space="preserve">This work, Direct Enrolment Report, is licensed under a </w:t>
      </w:r>
      <w:r>
        <w:rPr>
          <w:rFonts w:ascii="Arial" w:hAnsi="Arial" w:cs="Arial"/>
          <w:sz w:val="18"/>
          <w:szCs w:val="18"/>
          <w:u w:val="single"/>
        </w:rPr>
        <w:t>Creative Commons Attribution Non-Derivatives 4.0 licence</w:t>
      </w:r>
      <w:r>
        <w:rPr>
          <w:rFonts w:ascii="Arial" w:hAnsi="Arial" w:cs="Arial"/>
          <w:sz w:val="18"/>
          <w:szCs w:val="18"/>
        </w:rPr>
        <w:t xml:space="preserve"> (</w:t>
      </w:r>
      <w:hyperlink r:id="rId11" w:history="1">
        <w:r>
          <w:rPr>
            <w:rStyle w:val="Hyperlink"/>
            <w:rFonts w:ascii="Arial" w:hAnsi="Arial" w:cs="Arial"/>
            <w:sz w:val="18"/>
            <w:szCs w:val="18"/>
          </w:rPr>
          <w:t>http://creativecommons.org/licenses/by-nd/4.0/</w:t>
        </w:r>
      </w:hyperlink>
      <w:r>
        <w:rPr>
          <w:rFonts w:ascii="Arial" w:hAnsi="Arial" w:cs="Arial"/>
          <w:sz w:val="18"/>
          <w:szCs w:val="18"/>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w:t>
      </w:r>
      <w:r w:rsidR="00375885">
        <w:rPr>
          <w:rFonts w:ascii="Arial" w:hAnsi="Arial" w:cs="Arial"/>
          <w:sz w:val="18"/>
          <w:szCs w:val="18"/>
        </w:rPr>
        <w:t>t logos.</w:t>
      </w:r>
    </w:p>
    <w:p w:rsidR="007B4BEA" w:rsidRDefault="007B4BEA">
      <w:pPr>
        <w:rPr>
          <w:rFonts w:ascii="Arial" w:hAnsi="Arial" w:cs="Arial"/>
          <w:color w:val="3C8133"/>
          <w:sz w:val="36"/>
          <w:szCs w:val="36"/>
        </w:rPr>
      </w:pPr>
    </w:p>
    <w:sdt>
      <w:sdtPr>
        <w:rPr>
          <w:rFonts w:asciiTheme="minorHAnsi" w:eastAsiaTheme="minorHAnsi" w:hAnsiTheme="minorHAnsi" w:cstheme="minorBidi"/>
          <w:b w:val="0"/>
          <w:bCs w:val="0"/>
          <w:color w:val="auto"/>
          <w:sz w:val="22"/>
          <w:szCs w:val="22"/>
          <w:lang w:val="en-AU" w:eastAsia="en-US"/>
        </w:rPr>
        <w:id w:val="1053428532"/>
        <w:docPartObj>
          <w:docPartGallery w:val="Table of Contents"/>
          <w:docPartUnique/>
        </w:docPartObj>
      </w:sdtPr>
      <w:sdtEndPr>
        <w:rPr>
          <w:noProof/>
        </w:rPr>
      </w:sdtEndPr>
      <w:sdtContent>
        <w:p w:rsidR="007B4BEA" w:rsidRPr="007B4BEA" w:rsidRDefault="007B4BEA">
          <w:pPr>
            <w:pStyle w:val="TOCHeading"/>
            <w:rPr>
              <w:rFonts w:ascii="Arial" w:hAnsi="Arial" w:cs="Arial"/>
              <w:color w:val="7D922E"/>
              <w:lang w:val="en-AU" w:eastAsia="en-US"/>
            </w:rPr>
          </w:pPr>
          <w:r w:rsidRPr="007B4BEA">
            <w:rPr>
              <w:rFonts w:ascii="Arial" w:hAnsi="Arial" w:cs="Arial"/>
              <w:color w:val="7D922E"/>
              <w:lang w:val="en-AU" w:eastAsia="en-US"/>
            </w:rPr>
            <w:t>Contents</w:t>
          </w:r>
        </w:p>
        <w:p w:rsidR="007B4BEA" w:rsidRPr="007B4BEA" w:rsidRDefault="007B4BEA">
          <w:pPr>
            <w:pStyle w:val="TOC1"/>
            <w:tabs>
              <w:tab w:val="right" w:leader="dot" w:pos="9016"/>
            </w:tabs>
            <w:rPr>
              <w:rFonts w:ascii="Arial" w:eastAsiaTheme="majorEastAsia" w:hAnsi="Arial" w:cs="Arial"/>
              <w:b/>
              <w:bCs/>
              <w:noProof/>
              <w:color w:val="3C8133"/>
              <w:sz w:val="36"/>
              <w:szCs w:val="36"/>
            </w:rPr>
          </w:pPr>
          <w:r>
            <w:fldChar w:fldCharType="begin"/>
          </w:r>
          <w:r>
            <w:instrText xml:space="preserve"> TOC \o "1-3" \h \z \u </w:instrText>
          </w:r>
          <w:r>
            <w:fldChar w:fldCharType="separate"/>
          </w:r>
          <w:hyperlink w:anchor="_Toc491857276" w:history="1">
            <w:r w:rsidRPr="007B4BEA">
              <w:rPr>
                <w:rFonts w:eastAsiaTheme="majorEastAsia"/>
                <w:b/>
                <w:bCs/>
                <w:noProof/>
                <w:color w:val="3C8133"/>
                <w:sz w:val="36"/>
                <w:szCs w:val="36"/>
              </w:rPr>
              <w:t>Direct enrolment in Victoria</w:t>
            </w:r>
          </w:hyperlink>
        </w:p>
        <w:p w:rsidR="007B4BEA" w:rsidRDefault="00D857A5">
          <w:pPr>
            <w:pStyle w:val="TOC2"/>
            <w:tabs>
              <w:tab w:val="right" w:leader="dot" w:pos="9016"/>
            </w:tabs>
            <w:rPr>
              <w:noProof/>
            </w:rPr>
          </w:pPr>
          <w:hyperlink w:anchor="_Toc491857277" w:history="1">
            <w:r w:rsidR="007B4BEA" w:rsidRPr="00AC125A">
              <w:rPr>
                <w:rStyle w:val="Hyperlink"/>
                <w:rFonts w:ascii="Arial" w:hAnsi="Arial" w:cs="Arial"/>
                <w:noProof/>
              </w:rPr>
              <w:t>1. Origins and development of direct enrolment</w:t>
            </w:r>
            <w:r w:rsidR="007B4BEA">
              <w:rPr>
                <w:noProof/>
                <w:webHidden/>
              </w:rPr>
              <w:tab/>
            </w:r>
            <w:r w:rsidR="007B4BEA">
              <w:rPr>
                <w:noProof/>
                <w:webHidden/>
              </w:rPr>
              <w:fldChar w:fldCharType="begin"/>
            </w:r>
            <w:r w:rsidR="007B4BEA">
              <w:rPr>
                <w:noProof/>
                <w:webHidden/>
              </w:rPr>
              <w:instrText xml:space="preserve"> PAGEREF _Toc491857277 \h </w:instrText>
            </w:r>
            <w:r w:rsidR="007B4BEA">
              <w:rPr>
                <w:noProof/>
                <w:webHidden/>
              </w:rPr>
            </w:r>
            <w:r w:rsidR="007B4BEA">
              <w:rPr>
                <w:noProof/>
                <w:webHidden/>
              </w:rPr>
              <w:fldChar w:fldCharType="separate"/>
            </w:r>
            <w:r w:rsidR="00F06695">
              <w:rPr>
                <w:noProof/>
                <w:webHidden/>
              </w:rPr>
              <w:t>1</w:t>
            </w:r>
            <w:r w:rsidR="007B4BEA">
              <w:rPr>
                <w:noProof/>
                <w:webHidden/>
              </w:rPr>
              <w:fldChar w:fldCharType="end"/>
            </w:r>
          </w:hyperlink>
        </w:p>
        <w:p w:rsidR="007B4BEA" w:rsidRDefault="00D857A5">
          <w:pPr>
            <w:pStyle w:val="TOC2"/>
            <w:tabs>
              <w:tab w:val="right" w:leader="dot" w:pos="9016"/>
            </w:tabs>
            <w:rPr>
              <w:noProof/>
            </w:rPr>
          </w:pPr>
          <w:hyperlink w:anchor="_Toc491857278" w:history="1">
            <w:r w:rsidR="007B4BEA" w:rsidRPr="00AC125A">
              <w:rPr>
                <w:rStyle w:val="Hyperlink"/>
                <w:rFonts w:ascii="Arial" w:hAnsi="Arial" w:cs="Arial"/>
                <w:noProof/>
              </w:rPr>
              <w:t>2. The nature of directly enrolled electors</w:t>
            </w:r>
            <w:r w:rsidR="007B4BEA">
              <w:rPr>
                <w:noProof/>
                <w:webHidden/>
              </w:rPr>
              <w:tab/>
            </w:r>
            <w:r w:rsidR="007B4BEA">
              <w:rPr>
                <w:noProof/>
                <w:webHidden/>
              </w:rPr>
              <w:fldChar w:fldCharType="begin"/>
            </w:r>
            <w:r w:rsidR="007B4BEA">
              <w:rPr>
                <w:noProof/>
                <w:webHidden/>
              </w:rPr>
              <w:instrText xml:space="preserve"> PAGEREF _Toc491857278 \h </w:instrText>
            </w:r>
            <w:r w:rsidR="007B4BEA">
              <w:rPr>
                <w:noProof/>
                <w:webHidden/>
              </w:rPr>
            </w:r>
            <w:r w:rsidR="007B4BEA">
              <w:rPr>
                <w:noProof/>
                <w:webHidden/>
              </w:rPr>
              <w:fldChar w:fldCharType="separate"/>
            </w:r>
            <w:r w:rsidR="00F06695">
              <w:rPr>
                <w:noProof/>
                <w:webHidden/>
              </w:rPr>
              <w:t>4</w:t>
            </w:r>
            <w:r w:rsidR="007B4BEA">
              <w:rPr>
                <w:noProof/>
                <w:webHidden/>
              </w:rPr>
              <w:fldChar w:fldCharType="end"/>
            </w:r>
          </w:hyperlink>
        </w:p>
        <w:p w:rsidR="007B4BEA" w:rsidRDefault="00D857A5">
          <w:pPr>
            <w:pStyle w:val="TOC3"/>
            <w:tabs>
              <w:tab w:val="right" w:leader="dot" w:pos="9016"/>
            </w:tabs>
            <w:rPr>
              <w:noProof/>
            </w:rPr>
          </w:pPr>
          <w:hyperlink w:anchor="_Toc491857279" w:history="1">
            <w:r w:rsidR="007B4BEA" w:rsidRPr="00AC125A">
              <w:rPr>
                <w:rStyle w:val="Hyperlink"/>
                <w:rFonts w:ascii="Arial" w:hAnsi="Arial" w:cs="Arial"/>
                <w:noProof/>
              </w:rPr>
              <w:t>Overall numbers</w:t>
            </w:r>
            <w:r w:rsidR="007B4BEA">
              <w:rPr>
                <w:noProof/>
                <w:webHidden/>
              </w:rPr>
              <w:tab/>
            </w:r>
            <w:r w:rsidR="007B4BEA">
              <w:rPr>
                <w:noProof/>
                <w:webHidden/>
              </w:rPr>
              <w:fldChar w:fldCharType="begin"/>
            </w:r>
            <w:r w:rsidR="007B4BEA">
              <w:rPr>
                <w:noProof/>
                <w:webHidden/>
              </w:rPr>
              <w:instrText xml:space="preserve"> PAGEREF _Toc491857279 \h </w:instrText>
            </w:r>
            <w:r w:rsidR="007B4BEA">
              <w:rPr>
                <w:noProof/>
                <w:webHidden/>
              </w:rPr>
            </w:r>
            <w:r w:rsidR="007B4BEA">
              <w:rPr>
                <w:noProof/>
                <w:webHidden/>
              </w:rPr>
              <w:fldChar w:fldCharType="separate"/>
            </w:r>
            <w:r w:rsidR="00F06695">
              <w:rPr>
                <w:noProof/>
                <w:webHidden/>
              </w:rPr>
              <w:t>4</w:t>
            </w:r>
            <w:r w:rsidR="007B4BEA">
              <w:rPr>
                <w:noProof/>
                <w:webHidden/>
              </w:rPr>
              <w:fldChar w:fldCharType="end"/>
            </w:r>
          </w:hyperlink>
        </w:p>
        <w:p w:rsidR="007B4BEA" w:rsidRDefault="00D857A5">
          <w:pPr>
            <w:pStyle w:val="TOC3"/>
            <w:tabs>
              <w:tab w:val="right" w:leader="dot" w:pos="9016"/>
            </w:tabs>
            <w:rPr>
              <w:noProof/>
            </w:rPr>
          </w:pPr>
          <w:hyperlink w:anchor="_Toc491857280" w:history="1">
            <w:r w:rsidR="007B4BEA" w:rsidRPr="00AC125A">
              <w:rPr>
                <w:rStyle w:val="Hyperlink"/>
                <w:rFonts w:ascii="Arial" w:hAnsi="Arial" w:cs="Arial"/>
                <w:noProof/>
              </w:rPr>
              <w:t>Gender</w:t>
            </w:r>
            <w:r w:rsidR="007B4BEA">
              <w:rPr>
                <w:noProof/>
                <w:webHidden/>
              </w:rPr>
              <w:tab/>
            </w:r>
            <w:r w:rsidR="007B4BEA">
              <w:rPr>
                <w:noProof/>
                <w:webHidden/>
              </w:rPr>
              <w:fldChar w:fldCharType="begin"/>
            </w:r>
            <w:r w:rsidR="007B4BEA">
              <w:rPr>
                <w:noProof/>
                <w:webHidden/>
              </w:rPr>
              <w:instrText xml:space="preserve"> PAGEREF _Toc491857280 \h </w:instrText>
            </w:r>
            <w:r w:rsidR="007B4BEA">
              <w:rPr>
                <w:noProof/>
                <w:webHidden/>
              </w:rPr>
            </w:r>
            <w:r w:rsidR="007B4BEA">
              <w:rPr>
                <w:noProof/>
                <w:webHidden/>
              </w:rPr>
              <w:fldChar w:fldCharType="separate"/>
            </w:r>
            <w:r w:rsidR="00F06695">
              <w:rPr>
                <w:noProof/>
                <w:webHidden/>
              </w:rPr>
              <w:t>4</w:t>
            </w:r>
            <w:r w:rsidR="007B4BEA">
              <w:rPr>
                <w:noProof/>
                <w:webHidden/>
              </w:rPr>
              <w:fldChar w:fldCharType="end"/>
            </w:r>
          </w:hyperlink>
        </w:p>
        <w:p w:rsidR="007B4BEA" w:rsidRDefault="00D857A5">
          <w:pPr>
            <w:pStyle w:val="TOC3"/>
            <w:tabs>
              <w:tab w:val="right" w:leader="dot" w:pos="9016"/>
            </w:tabs>
            <w:rPr>
              <w:noProof/>
            </w:rPr>
          </w:pPr>
          <w:hyperlink w:anchor="_Toc491857281" w:history="1">
            <w:r w:rsidR="007B4BEA" w:rsidRPr="00AC125A">
              <w:rPr>
                <w:rStyle w:val="Hyperlink"/>
                <w:rFonts w:ascii="Arial" w:hAnsi="Arial" w:cs="Arial"/>
                <w:noProof/>
              </w:rPr>
              <w:t>Age groups</w:t>
            </w:r>
            <w:r w:rsidR="007B4BEA">
              <w:rPr>
                <w:noProof/>
                <w:webHidden/>
              </w:rPr>
              <w:tab/>
            </w:r>
            <w:r w:rsidR="007B4BEA">
              <w:rPr>
                <w:noProof/>
                <w:webHidden/>
              </w:rPr>
              <w:fldChar w:fldCharType="begin"/>
            </w:r>
            <w:r w:rsidR="007B4BEA">
              <w:rPr>
                <w:noProof/>
                <w:webHidden/>
              </w:rPr>
              <w:instrText xml:space="preserve"> PAGEREF _Toc491857281 \h </w:instrText>
            </w:r>
            <w:r w:rsidR="007B4BEA">
              <w:rPr>
                <w:noProof/>
                <w:webHidden/>
              </w:rPr>
            </w:r>
            <w:r w:rsidR="007B4BEA">
              <w:rPr>
                <w:noProof/>
                <w:webHidden/>
              </w:rPr>
              <w:fldChar w:fldCharType="separate"/>
            </w:r>
            <w:r w:rsidR="00F06695">
              <w:rPr>
                <w:noProof/>
                <w:webHidden/>
              </w:rPr>
              <w:t>5</w:t>
            </w:r>
            <w:r w:rsidR="007B4BEA">
              <w:rPr>
                <w:noProof/>
                <w:webHidden/>
              </w:rPr>
              <w:fldChar w:fldCharType="end"/>
            </w:r>
          </w:hyperlink>
        </w:p>
        <w:p w:rsidR="007B4BEA" w:rsidRDefault="00D857A5">
          <w:pPr>
            <w:pStyle w:val="TOC3"/>
            <w:tabs>
              <w:tab w:val="right" w:leader="dot" w:pos="9016"/>
            </w:tabs>
            <w:rPr>
              <w:noProof/>
            </w:rPr>
          </w:pPr>
          <w:hyperlink w:anchor="_Toc491857282" w:history="1">
            <w:r w:rsidR="007B4BEA" w:rsidRPr="00AC125A">
              <w:rPr>
                <w:rStyle w:val="Hyperlink"/>
                <w:rFonts w:ascii="Arial" w:hAnsi="Arial" w:cs="Arial"/>
                <w:noProof/>
              </w:rPr>
              <w:t>Geographic distribution</w:t>
            </w:r>
            <w:r w:rsidR="007B4BEA">
              <w:rPr>
                <w:noProof/>
                <w:webHidden/>
              </w:rPr>
              <w:tab/>
            </w:r>
            <w:r w:rsidR="007B4BEA">
              <w:rPr>
                <w:noProof/>
                <w:webHidden/>
              </w:rPr>
              <w:fldChar w:fldCharType="begin"/>
            </w:r>
            <w:r w:rsidR="007B4BEA">
              <w:rPr>
                <w:noProof/>
                <w:webHidden/>
              </w:rPr>
              <w:instrText xml:space="preserve"> PAGEREF _Toc491857282 \h </w:instrText>
            </w:r>
            <w:r w:rsidR="007B4BEA">
              <w:rPr>
                <w:noProof/>
                <w:webHidden/>
              </w:rPr>
            </w:r>
            <w:r w:rsidR="007B4BEA">
              <w:rPr>
                <w:noProof/>
                <w:webHidden/>
              </w:rPr>
              <w:fldChar w:fldCharType="separate"/>
            </w:r>
            <w:r w:rsidR="00F06695">
              <w:rPr>
                <w:noProof/>
                <w:webHidden/>
              </w:rPr>
              <w:t>6</w:t>
            </w:r>
            <w:r w:rsidR="007B4BEA">
              <w:rPr>
                <w:noProof/>
                <w:webHidden/>
              </w:rPr>
              <w:fldChar w:fldCharType="end"/>
            </w:r>
          </w:hyperlink>
        </w:p>
        <w:p w:rsidR="007B4BEA" w:rsidRDefault="00D857A5">
          <w:pPr>
            <w:pStyle w:val="TOC2"/>
            <w:tabs>
              <w:tab w:val="right" w:leader="dot" w:pos="9016"/>
            </w:tabs>
            <w:rPr>
              <w:noProof/>
            </w:rPr>
          </w:pPr>
          <w:hyperlink w:anchor="_Toc491857283" w:history="1">
            <w:r w:rsidR="007B4BEA" w:rsidRPr="00AC125A">
              <w:rPr>
                <w:rStyle w:val="Hyperlink"/>
                <w:rFonts w:ascii="Arial" w:hAnsi="Arial" w:cs="Arial"/>
                <w:noProof/>
              </w:rPr>
              <w:t>3. Directly enrolled electors and voting</w:t>
            </w:r>
            <w:r w:rsidR="007B4BEA">
              <w:rPr>
                <w:noProof/>
                <w:webHidden/>
              </w:rPr>
              <w:tab/>
            </w:r>
            <w:r w:rsidR="007B4BEA">
              <w:rPr>
                <w:noProof/>
                <w:webHidden/>
              </w:rPr>
              <w:fldChar w:fldCharType="begin"/>
            </w:r>
            <w:r w:rsidR="007B4BEA">
              <w:rPr>
                <w:noProof/>
                <w:webHidden/>
              </w:rPr>
              <w:instrText xml:space="preserve"> PAGEREF _Toc491857283 \h </w:instrText>
            </w:r>
            <w:r w:rsidR="007B4BEA">
              <w:rPr>
                <w:noProof/>
                <w:webHidden/>
              </w:rPr>
            </w:r>
            <w:r w:rsidR="007B4BEA">
              <w:rPr>
                <w:noProof/>
                <w:webHidden/>
              </w:rPr>
              <w:fldChar w:fldCharType="separate"/>
            </w:r>
            <w:r w:rsidR="00F06695">
              <w:rPr>
                <w:noProof/>
                <w:webHidden/>
              </w:rPr>
              <w:t>11</w:t>
            </w:r>
            <w:r w:rsidR="007B4BEA">
              <w:rPr>
                <w:noProof/>
                <w:webHidden/>
              </w:rPr>
              <w:fldChar w:fldCharType="end"/>
            </w:r>
          </w:hyperlink>
        </w:p>
        <w:p w:rsidR="007B4BEA" w:rsidRDefault="00D857A5">
          <w:pPr>
            <w:pStyle w:val="TOC3"/>
            <w:tabs>
              <w:tab w:val="right" w:leader="dot" w:pos="9016"/>
            </w:tabs>
            <w:rPr>
              <w:noProof/>
            </w:rPr>
          </w:pPr>
          <w:hyperlink w:anchor="_Toc491857284" w:history="1">
            <w:r w:rsidR="007B4BEA" w:rsidRPr="00AC125A">
              <w:rPr>
                <w:rStyle w:val="Hyperlink"/>
                <w:rFonts w:ascii="Arial" w:hAnsi="Arial" w:cs="Arial"/>
                <w:noProof/>
              </w:rPr>
              <w:t>Overall numbers</w:t>
            </w:r>
            <w:r w:rsidR="007B4BEA">
              <w:rPr>
                <w:noProof/>
                <w:webHidden/>
              </w:rPr>
              <w:tab/>
            </w:r>
            <w:r w:rsidR="007B4BEA">
              <w:rPr>
                <w:noProof/>
                <w:webHidden/>
              </w:rPr>
              <w:fldChar w:fldCharType="begin"/>
            </w:r>
            <w:r w:rsidR="007B4BEA">
              <w:rPr>
                <w:noProof/>
                <w:webHidden/>
              </w:rPr>
              <w:instrText xml:space="preserve"> PAGEREF _Toc491857284 \h </w:instrText>
            </w:r>
            <w:r w:rsidR="007B4BEA">
              <w:rPr>
                <w:noProof/>
                <w:webHidden/>
              </w:rPr>
            </w:r>
            <w:r w:rsidR="007B4BEA">
              <w:rPr>
                <w:noProof/>
                <w:webHidden/>
              </w:rPr>
              <w:fldChar w:fldCharType="separate"/>
            </w:r>
            <w:r w:rsidR="00F06695">
              <w:rPr>
                <w:noProof/>
                <w:webHidden/>
              </w:rPr>
              <w:t>11</w:t>
            </w:r>
            <w:r w:rsidR="007B4BEA">
              <w:rPr>
                <w:noProof/>
                <w:webHidden/>
              </w:rPr>
              <w:fldChar w:fldCharType="end"/>
            </w:r>
          </w:hyperlink>
        </w:p>
        <w:p w:rsidR="007B4BEA" w:rsidRDefault="00D857A5">
          <w:pPr>
            <w:pStyle w:val="TOC3"/>
            <w:tabs>
              <w:tab w:val="right" w:leader="dot" w:pos="9016"/>
            </w:tabs>
            <w:rPr>
              <w:noProof/>
            </w:rPr>
          </w:pPr>
          <w:hyperlink w:anchor="_Toc491857285" w:history="1">
            <w:r w:rsidR="007B4BEA" w:rsidRPr="00AC125A">
              <w:rPr>
                <w:rStyle w:val="Hyperlink"/>
                <w:rFonts w:ascii="Arial" w:hAnsi="Arial" w:cs="Arial"/>
                <w:noProof/>
              </w:rPr>
              <w:t>Gender</w:t>
            </w:r>
            <w:r w:rsidR="007B4BEA">
              <w:rPr>
                <w:noProof/>
                <w:webHidden/>
              </w:rPr>
              <w:tab/>
            </w:r>
            <w:r w:rsidR="007B4BEA">
              <w:rPr>
                <w:noProof/>
                <w:webHidden/>
              </w:rPr>
              <w:fldChar w:fldCharType="begin"/>
            </w:r>
            <w:r w:rsidR="007B4BEA">
              <w:rPr>
                <w:noProof/>
                <w:webHidden/>
              </w:rPr>
              <w:instrText xml:space="preserve"> PAGEREF _Toc491857285 \h </w:instrText>
            </w:r>
            <w:r w:rsidR="007B4BEA">
              <w:rPr>
                <w:noProof/>
                <w:webHidden/>
              </w:rPr>
            </w:r>
            <w:r w:rsidR="007B4BEA">
              <w:rPr>
                <w:noProof/>
                <w:webHidden/>
              </w:rPr>
              <w:fldChar w:fldCharType="separate"/>
            </w:r>
            <w:r w:rsidR="00F06695">
              <w:rPr>
                <w:noProof/>
                <w:webHidden/>
              </w:rPr>
              <w:t>11</w:t>
            </w:r>
            <w:r w:rsidR="007B4BEA">
              <w:rPr>
                <w:noProof/>
                <w:webHidden/>
              </w:rPr>
              <w:fldChar w:fldCharType="end"/>
            </w:r>
          </w:hyperlink>
        </w:p>
        <w:p w:rsidR="007B4BEA" w:rsidRDefault="00D857A5">
          <w:pPr>
            <w:pStyle w:val="TOC3"/>
            <w:tabs>
              <w:tab w:val="right" w:leader="dot" w:pos="9016"/>
            </w:tabs>
            <w:rPr>
              <w:noProof/>
            </w:rPr>
          </w:pPr>
          <w:hyperlink w:anchor="_Toc491857286" w:history="1">
            <w:r w:rsidR="007B4BEA" w:rsidRPr="00AC125A">
              <w:rPr>
                <w:rStyle w:val="Hyperlink"/>
                <w:rFonts w:ascii="Arial" w:hAnsi="Arial" w:cs="Arial"/>
                <w:noProof/>
              </w:rPr>
              <w:t>Age groups</w:t>
            </w:r>
            <w:r w:rsidR="007B4BEA">
              <w:rPr>
                <w:noProof/>
                <w:webHidden/>
              </w:rPr>
              <w:tab/>
            </w:r>
            <w:r w:rsidR="007B4BEA">
              <w:rPr>
                <w:noProof/>
                <w:webHidden/>
              </w:rPr>
              <w:fldChar w:fldCharType="begin"/>
            </w:r>
            <w:r w:rsidR="007B4BEA">
              <w:rPr>
                <w:noProof/>
                <w:webHidden/>
              </w:rPr>
              <w:instrText xml:space="preserve"> PAGEREF _Toc491857286 \h </w:instrText>
            </w:r>
            <w:r w:rsidR="007B4BEA">
              <w:rPr>
                <w:noProof/>
                <w:webHidden/>
              </w:rPr>
            </w:r>
            <w:r w:rsidR="007B4BEA">
              <w:rPr>
                <w:noProof/>
                <w:webHidden/>
              </w:rPr>
              <w:fldChar w:fldCharType="separate"/>
            </w:r>
            <w:r w:rsidR="00F06695">
              <w:rPr>
                <w:noProof/>
                <w:webHidden/>
              </w:rPr>
              <w:t>12</w:t>
            </w:r>
            <w:r w:rsidR="007B4BEA">
              <w:rPr>
                <w:noProof/>
                <w:webHidden/>
              </w:rPr>
              <w:fldChar w:fldCharType="end"/>
            </w:r>
          </w:hyperlink>
        </w:p>
        <w:p w:rsidR="007B4BEA" w:rsidRDefault="00D857A5">
          <w:pPr>
            <w:pStyle w:val="TOC3"/>
            <w:tabs>
              <w:tab w:val="right" w:leader="dot" w:pos="9016"/>
            </w:tabs>
            <w:rPr>
              <w:noProof/>
            </w:rPr>
          </w:pPr>
          <w:hyperlink w:anchor="_Toc491857287" w:history="1">
            <w:r w:rsidR="007B4BEA" w:rsidRPr="00AC125A">
              <w:rPr>
                <w:rStyle w:val="Hyperlink"/>
                <w:rFonts w:ascii="Arial" w:hAnsi="Arial" w:cs="Arial"/>
                <w:noProof/>
              </w:rPr>
              <w:t>Geographic distribution</w:t>
            </w:r>
            <w:r w:rsidR="007B4BEA">
              <w:rPr>
                <w:noProof/>
                <w:webHidden/>
              </w:rPr>
              <w:tab/>
            </w:r>
            <w:r w:rsidR="007B4BEA">
              <w:rPr>
                <w:noProof/>
                <w:webHidden/>
              </w:rPr>
              <w:fldChar w:fldCharType="begin"/>
            </w:r>
            <w:r w:rsidR="007B4BEA">
              <w:rPr>
                <w:noProof/>
                <w:webHidden/>
              </w:rPr>
              <w:instrText xml:space="preserve"> PAGEREF _Toc491857287 \h </w:instrText>
            </w:r>
            <w:r w:rsidR="007B4BEA">
              <w:rPr>
                <w:noProof/>
                <w:webHidden/>
              </w:rPr>
            </w:r>
            <w:r w:rsidR="007B4BEA">
              <w:rPr>
                <w:noProof/>
                <w:webHidden/>
              </w:rPr>
              <w:fldChar w:fldCharType="separate"/>
            </w:r>
            <w:r w:rsidR="00F06695">
              <w:rPr>
                <w:noProof/>
                <w:webHidden/>
              </w:rPr>
              <w:t>13</w:t>
            </w:r>
            <w:r w:rsidR="007B4BEA">
              <w:rPr>
                <w:noProof/>
                <w:webHidden/>
              </w:rPr>
              <w:fldChar w:fldCharType="end"/>
            </w:r>
          </w:hyperlink>
        </w:p>
        <w:p w:rsidR="007B4BEA" w:rsidRDefault="00D857A5">
          <w:pPr>
            <w:pStyle w:val="TOC2"/>
            <w:tabs>
              <w:tab w:val="right" w:leader="dot" w:pos="9016"/>
            </w:tabs>
            <w:rPr>
              <w:noProof/>
            </w:rPr>
          </w:pPr>
          <w:hyperlink w:anchor="_Toc491857288" w:history="1">
            <w:r w:rsidR="007B4BEA" w:rsidRPr="00AC125A">
              <w:rPr>
                <w:rStyle w:val="Hyperlink"/>
                <w:rFonts w:ascii="Arial" w:hAnsi="Arial" w:cs="Arial"/>
                <w:noProof/>
              </w:rPr>
              <w:t>4. Feedback from directly enrolled electors</w:t>
            </w:r>
            <w:r w:rsidR="007B4BEA">
              <w:rPr>
                <w:noProof/>
                <w:webHidden/>
              </w:rPr>
              <w:tab/>
            </w:r>
            <w:r w:rsidR="007B4BEA">
              <w:rPr>
                <w:noProof/>
                <w:webHidden/>
              </w:rPr>
              <w:fldChar w:fldCharType="begin"/>
            </w:r>
            <w:r w:rsidR="007B4BEA">
              <w:rPr>
                <w:noProof/>
                <w:webHidden/>
              </w:rPr>
              <w:instrText xml:space="preserve"> PAGEREF _Toc491857288 \h </w:instrText>
            </w:r>
            <w:r w:rsidR="007B4BEA">
              <w:rPr>
                <w:noProof/>
                <w:webHidden/>
              </w:rPr>
            </w:r>
            <w:r w:rsidR="007B4BEA">
              <w:rPr>
                <w:noProof/>
                <w:webHidden/>
              </w:rPr>
              <w:fldChar w:fldCharType="separate"/>
            </w:r>
            <w:r w:rsidR="00F06695">
              <w:rPr>
                <w:noProof/>
                <w:webHidden/>
              </w:rPr>
              <w:t>18</w:t>
            </w:r>
            <w:r w:rsidR="007B4BEA">
              <w:rPr>
                <w:noProof/>
                <w:webHidden/>
              </w:rPr>
              <w:fldChar w:fldCharType="end"/>
            </w:r>
          </w:hyperlink>
        </w:p>
        <w:p w:rsidR="007B4BEA" w:rsidRDefault="00D857A5">
          <w:pPr>
            <w:pStyle w:val="TOC2"/>
            <w:tabs>
              <w:tab w:val="right" w:leader="dot" w:pos="9016"/>
            </w:tabs>
            <w:rPr>
              <w:noProof/>
            </w:rPr>
          </w:pPr>
          <w:hyperlink w:anchor="_Toc491857289" w:history="1">
            <w:r w:rsidR="007B4BEA" w:rsidRPr="00AC125A">
              <w:rPr>
                <w:rStyle w:val="Hyperlink"/>
                <w:rFonts w:ascii="Arial" w:hAnsi="Arial" w:cs="Arial"/>
                <w:noProof/>
              </w:rPr>
              <w:t>4. Conclusions</w:t>
            </w:r>
            <w:r w:rsidR="007B4BEA">
              <w:rPr>
                <w:noProof/>
                <w:webHidden/>
              </w:rPr>
              <w:tab/>
            </w:r>
            <w:r w:rsidR="007B4BEA">
              <w:rPr>
                <w:noProof/>
                <w:webHidden/>
              </w:rPr>
              <w:fldChar w:fldCharType="begin"/>
            </w:r>
            <w:r w:rsidR="007B4BEA">
              <w:rPr>
                <w:noProof/>
                <w:webHidden/>
              </w:rPr>
              <w:instrText xml:space="preserve"> PAGEREF _Toc491857289 \h </w:instrText>
            </w:r>
            <w:r w:rsidR="007B4BEA">
              <w:rPr>
                <w:noProof/>
                <w:webHidden/>
              </w:rPr>
            </w:r>
            <w:r w:rsidR="007B4BEA">
              <w:rPr>
                <w:noProof/>
                <w:webHidden/>
              </w:rPr>
              <w:fldChar w:fldCharType="separate"/>
            </w:r>
            <w:r w:rsidR="00F06695">
              <w:rPr>
                <w:noProof/>
                <w:webHidden/>
              </w:rPr>
              <w:t>21</w:t>
            </w:r>
            <w:r w:rsidR="007B4BEA">
              <w:rPr>
                <w:noProof/>
                <w:webHidden/>
              </w:rPr>
              <w:fldChar w:fldCharType="end"/>
            </w:r>
          </w:hyperlink>
        </w:p>
        <w:p w:rsidR="007B4BEA" w:rsidRDefault="007B4BEA">
          <w:r>
            <w:rPr>
              <w:b/>
              <w:bCs/>
              <w:noProof/>
            </w:rPr>
            <w:fldChar w:fldCharType="end"/>
          </w:r>
        </w:p>
      </w:sdtContent>
    </w:sdt>
    <w:p w:rsidR="009C1AB7" w:rsidRDefault="009C1AB7">
      <w:pPr>
        <w:rPr>
          <w:rFonts w:ascii="Arial" w:hAnsi="Arial" w:cs="Arial"/>
          <w:color w:val="3C8133"/>
          <w:sz w:val="36"/>
          <w:szCs w:val="36"/>
        </w:rPr>
        <w:sectPr w:rsidR="009C1AB7">
          <w:pgSz w:w="11906" w:h="16838"/>
          <w:pgMar w:top="1440" w:right="1440" w:bottom="1440" w:left="1440" w:header="708" w:footer="708" w:gutter="0"/>
          <w:cols w:space="708"/>
          <w:docGrid w:linePitch="360"/>
        </w:sectPr>
      </w:pPr>
    </w:p>
    <w:p w:rsidR="0094457A" w:rsidRPr="00FF5D90" w:rsidRDefault="0031377C" w:rsidP="0031377C">
      <w:pPr>
        <w:pStyle w:val="Heading1"/>
        <w:rPr>
          <w:rFonts w:ascii="Arial" w:hAnsi="Arial" w:cs="Arial"/>
          <w:color w:val="3C8133"/>
          <w:sz w:val="36"/>
          <w:szCs w:val="36"/>
        </w:rPr>
      </w:pPr>
      <w:bookmarkStart w:id="1" w:name="_Toc491857276"/>
      <w:r w:rsidRPr="00FF5D90">
        <w:rPr>
          <w:rFonts w:ascii="Arial" w:hAnsi="Arial" w:cs="Arial"/>
          <w:color w:val="3C8133"/>
          <w:sz w:val="36"/>
          <w:szCs w:val="36"/>
        </w:rPr>
        <w:lastRenderedPageBreak/>
        <w:t>Direct enrolment in Victoria</w:t>
      </w:r>
      <w:bookmarkEnd w:id="1"/>
    </w:p>
    <w:p w:rsidR="0031377C" w:rsidRPr="00FF5D90" w:rsidRDefault="0031377C" w:rsidP="0031377C">
      <w:pPr>
        <w:pStyle w:val="Heading2"/>
        <w:rPr>
          <w:rFonts w:ascii="Arial" w:hAnsi="Arial" w:cs="Arial"/>
          <w:color w:val="7D922E"/>
          <w:sz w:val="28"/>
          <w:szCs w:val="28"/>
        </w:rPr>
      </w:pPr>
      <w:bookmarkStart w:id="2" w:name="_Toc491857277"/>
      <w:r w:rsidRPr="00FF5D90">
        <w:rPr>
          <w:rFonts w:ascii="Arial" w:hAnsi="Arial" w:cs="Arial"/>
          <w:color w:val="7D922E"/>
          <w:sz w:val="28"/>
          <w:szCs w:val="28"/>
        </w:rPr>
        <w:t>1. Origins and development of direct enrolment</w:t>
      </w:r>
      <w:bookmarkEnd w:id="2"/>
    </w:p>
    <w:p w:rsidR="0031377C" w:rsidRDefault="0031377C" w:rsidP="0031377C">
      <w:pPr>
        <w:rPr>
          <w:rFonts w:ascii="Arial" w:hAnsi="Arial" w:cs="Arial"/>
        </w:rPr>
      </w:pPr>
      <w:r>
        <w:rPr>
          <w:rFonts w:ascii="Arial" w:hAnsi="Arial" w:cs="Arial"/>
        </w:rPr>
        <w:t xml:space="preserve">Electoral enrolment has been compulsory in Australia since 1911, but there has never been a time when all those eligible to enrol have been properly enrolled. Some people have never enrolled to vote, or have dropped off the roll for a variety of reasons, while a larger group have changed their address or name but have been slow to update their enrolment. </w:t>
      </w:r>
    </w:p>
    <w:p w:rsidR="0038734B" w:rsidRDefault="0038734B" w:rsidP="0031377C">
      <w:pPr>
        <w:rPr>
          <w:rFonts w:ascii="Arial" w:hAnsi="Arial" w:cs="Arial"/>
        </w:rPr>
      </w:pPr>
      <w:r>
        <w:rPr>
          <w:rFonts w:ascii="Arial" w:hAnsi="Arial" w:cs="Arial"/>
        </w:rPr>
        <w:t xml:space="preserve">A complete and accurate electoral roll is desirable in principle, as it is the basis of democratic elections. </w:t>
      </w:r>
      <w:r w:rsidR="00111E3D">
        <w:rPr>
          <w:rFonts w:ascii="Arial" w:hAnsi="Arial" w:cs="Arial"/>
        </w:rPr>
        <w:t>Government, and in particular the electoral authorities</w:t>
      </w:r>
      <w:r w:rsidR="00AA017B">
        <w:rPr>
          <w:rFonts w:ascii="Arial" w:hAnsi="Arial" w:cs="Arial"/>
        </w:rPr>
        <w:t>,</w:t>
      </w:r>
      <w:r w:rsidR="00111E3D">
        <w:rPr>
          <w:rFonts w:ascii="Arial" w:hAnsi="Arial" w:cs="Arial"/>
        </w:rPr>
        <w:t xml:space="preserve"> have always played a part in trying to achieve a complete and accurate roll. In preparation for the first Federal election conducted under Commonwealth legislation, the fledgling Commonwealth electoral administ</w:t>
      </w:r>
      <w:r w:rsidR="008A7DAD">
        <w:rPr>
          <w:rFonts w:ascii="Arial" w:hAnsi="Arial" w:cs="Arial"/>
        </w:rPr>
        <w:t xml:space="preserve">ration </w:t>
      </w:r>
      <w:r w:rsidR="00E13EB8">
        <w:rPr>
          <w:rFonts w:ascii="Arial" w:hAnsi="Arial" w:cs="Arial"/>
        </w:rPr>
        <w:t xml:space="preserve">directed the police to canvass every household in Australia in 1902-1903, with the result that an estimated 96 per cent of the eligible </w:t>
      </w:r>
      <w:r w:rsidR="00AA017B">
        <w:rPr>
          <w:rFonts w:ascii="Arial" w:hAnsi="Arial" w:cs="Arial"/>
        </w:rPr>
        <w:t xml:space="preserve">population </w:t>
      </w:r>
      <w:r w:rsidR="00E13EB8">
        <w:rPr>
          <w:rFonts w:ascii="Arial" w:hAnsi="Arial" w:cs="Arial"/>
        </w:rPr>
        <w:t>was enrolled.</w:t>
      </w:r>
      <w:r w:rsidR="00E13EB8">
        <w:rPr>
          <w:rStyle w:val="FootnoteReference"/>
          <w:rFonts w:ascii="Arial" w:hAnsi="Arial" w:cs="Arial"/>
        </w:rPr>
        <w:footnoteReference w:id="1"/>
      </w:r>
    </w:p>
    <w:p w:rsidR="00E13EB8" w:rsidRDefault="00E13EB8" w:rsidP="0031377C">
      <w:pPr>
        <w:rPr>
          <w:rFonts w:ascii="Arial" w:hAnsi="Arial" w:cs="Arial"/>
        </w:rPr>
      </w:pPr>
      <w:r>
        <w:rPr>
          <w:rFonts w:ascii="Arial" w:hAnsi="Arial" w:cs="Arial"/>
        </w:rPr>
        <w:t>For m</w:t>
      </w:r>
      <w:r w:rsidR="00AA017B">
        <w:rPr>
          <w:rFonts w:ascii="Arial" w:hAnsi="Arial" w:cs="Arial"/>
        </w:rPr>
        <w:t>uch</w:t>
      </w:r>
      <w:r>
        <w:rPr>
          <w:rFonts w:ascii="Arial" w:hAnsi="Arial" w:cs="Arial"/>
        </w:rPr>
        <w:t xml:space="preserve"> of the twentieth century</w:t>
      </w:r>
      <w:r w:rsidR="00462CBC">
        <w:rPr>
          <w:rFonts w:ascii="Arial" w:hAnsi="Arial" w:cs="Arial"/>
        </w:rPr>
        <w:t xml:space="preserve">, electoral authorities relied on habitation reviews to maintain the electoral roll. In these reviews, electoral officials doorknocked every household, checking that enrolment records for the address were correct and providing enrolment forms </w:t>
      </w:r>
      <w:r w:rsidR="00AF333F">
        <w:rPr>
          <w:rFonts w:ascii="Arial" w:hAnsi="Arial" w:cs="Arial"/>
        </w:rPr>
        <w:t xml:space="preserve">to eligible people who needed to enrol or to update their enrolment. </w:t>
      </w:r>
      <w:r w:rsidR="00AA017B">
        <w:rPr>
          <w:rFonts w:ascii="Arial" w:hAnsi="Arial" w:cs="Arial"/>
        </w:rPr>
        <w:t xml:space="preserve">Habitation reviews were very costly, and in the 1990s electoral commissions turned to </w:t>
      </w:r>
      <w:r w:rsidR="00FA5047">
        <w:rPr>
          <w:rFonts w:ascii="Arial" w:hAnsi="Arial" w:cs="Arial"/>
        </w:rPr>
        <w:t>C</w:t>
      </w:r>
      <w:r w:rsidR="00AA017B">
        <w:rPr>
          <w:rFonts w:ascii="Arial" w:hAnsi="Arial" w:cs="Arial"/>
        </w:rPr>
        <w:t xml:space="preserve">ontinuous </w:t>
      </w:r>
      <w:r w:rsidR="00FA5047">
        <w:rPr>
          <w:rFonts w:ascii="Arial" w:hAnsi="Arial" w:cs="Arial"/>
        </w:rPr>
        <w:t>R</w:t>
      </w:r>
      <w:r w:rsidR="00AA017B">
        <w:rPr>
          <w:rFonts w:ascii="Arial" w:hAnsi="Arial" w:cs="Arial"/>
        </w:rPr>
        <w:t xml:space="preserve">oll </w:t>
      </w:r>
      <w:r w:rsidR="00FA5047">
        <w:rPr>
          <w:rFonts w:ascii="Arial" w:hAnsi="Arial" w:cs="Arial"/>
        </w:rPr>
        <w:t>U</w:t>
      </w:r>
      <w:r w:rsidR="00AA017B">
        <w:rPr>
          <w:rFonts w:ascii="Arial" w:hAnsi="Arial" w:cs="Arial"/>
        </w:rPr>
        <w:t xml:space="preserve">pdate (CRU) as a more efficient way of updating the roll. Using data obtained from government and other agencies (such as VicRoads and Eastern Energy in Victoria), electoral commissions wrote to people who were likely to need to enrol or to change their enrolment, inviting them to complete an enrolment form. </w:t>
      </w:r>
      <w:r w:rsidR="00345B76">
        <w:rPr>
          <w:rFonts w:ascii="Arial" w:hAnsi="Arial" w:cs="Arial"/>
        </w:rPr>
        <w:t>One successful initiative</w:t>
      </w:r>
      <w:r w:rsidR="00FA5047">
        <w:rPr>
          <w:rFonts w:ascii="Arial" w:hAnsi="Arial" w:cs="Arial"/>
        </w:rPr>
        <w:t xml:space="preserve">, introduced more than a decade ago, </w:t>
      </w:r>
      <w:r w:rsidR="00345B76">
        <w:rPr>
          <w:rFonts w:ascii="Arial" w:hAnsi="Arial" w:cs="Arial"/>
        </w:rPr>
        <w:t>was the birthday card that the VEC sent to students who were about to turn 17, encouraging them to enrol provisionally.</w:t>
      </w:r>
    </w:p>
    <w:p w:rsidR="00345B76" w:rsidRDefault="00345B76" w:rsidP="0031377C">
      <w:pPr>
        <w:rPr>
          <w:rFonts w:ascii="Arial" w:hAnsi="Arial" w:cs="Arial"/>
        </w:rPr>
      </w:pPr>
      <w:r>
        <w:rPr>
          <w:rFonts w:ascii="Arial" w:hAnsi="Arial" w:cs="Arial"/>
        </w:rPr>
        <w:t xml:space="preserve">However, </w:t>
      </w:r>
      <w:r w:rsidR="00E51DD8">
        <w:rPr>
          <w:rFonts w:ascii="Arial" w:hAnsi="Arial" w:cs="Arial"/>
        </w:rPr>
        <w:t xml:space="preserve">over time the return rate from CRU mail-outs tended to diminish. Another problem identified by some observers was that while the information provided by agencies assisted electoral commissions to take electors off the roll on the grounds of non-residence, the commission had to wait on individuals to complete and send enrolment forms before they could be placed on the roll. As a result, the enrolment rate (enrolled electors as a proportion of the eligible population) tended to decline over the first decade of this century. </w:t>
      </w:r>
      <w:r w:rsidR="00F04235">
        <w:rPr>
          <w:rFonts w:ascii="Arial" w:hAnsi="Arial" w:cs="Arial"/>
        </w:rPr>
        <w:t xml:space="preserve">By 2010, an estimated 1.5 million eligible Australians were not enrolled. </w:t>
      </w:r>
      <w:r w:rsidR="00E51DD8">
        <w:rPr>
          <w:rFonts w:ascii="Arial" w:hAnsi="Arial" w:cs="Arial"/>
        </w:rPr>
        <w:t>Consequently, there were growing calls for automatic, or direct, enrolment</w:t>
      </w:r>
      <w:r w:rsidR="00FE5EDE">
        <w:rPr>
          <w:rFonts w:ascii="Arial" w:hAnsi="Arial" w:cs="Arial"/>
        </w:rPr>
        <w:t>, under which electoral commissions would use the data provided by agencies to place electors directly on the roll or update their enrolment.</w:t>
      </w:r>
      <w:r w:rsidR="00FE5EDE">
        <w:rPr>
          <w:rStyle w:val="FootnoteReference"/>
          <w:rFonts w:ascii="Arial" w:hAnsi="Arial" w:cs="Arial"/>
        </w:rPr>
        <w:footnoteReference w:id="2"/>
      </w:r>
      <w:r w:rsidR="00FE5EDE">
        <w:rPr>
          <w:rFonts w:ascii="Arial" w:hAnsi="Arial" w:cs="Arial"/>
        </w:rPr>
        <w:t xml:space="preserve"> </w:t>
      </w:r>
    </w:p>
    <w:p w:rsidR="004D0A1F" w:rsidRDefault="00186188" w:rsidP="0031377C">
      <w:pPr>
        <w:rPr>
          <w:rFonts w:ascii="Arial" w:hAnsi="Arial" w:cs="Arial"/>
        </w:rPr>
      </w:pPr>
      <w:r>
        <w:rPr>
          <w:rFonts w:ascii="Arial" w:hAnsi="Arial" w:cs="Arial"/>
        </w:rPr>
        <w:t xml:space="preserve">In 2009, the New South Wales Parliament passed the </w:t>
      </w:r>
      <w:r>
        <w:rPr>
          <w:rFonts w:ascii="Arial" w:hAnsi="Arial" w:cs="Arial"/>
          <w:i/>
        </w:rPr>
        <w:t>Parliamentary Electorates and Elections Amendment (Automatic Enrolment) Act 2009</w:t>
      </w:r>
      <w:r>
        <w:rPr>
          <w:rFonts w:ascii="Arial" w:hAnsi="Arial" w:cs="Arial"/>
        </w:rPr>
        <w:t xml:space="preserve">, </w:t>
      </w:r>
      <w:r w:rsidR="00F04235">
        <w:rPr>
          <w:rFonts w:ascii="Arial" w:hAnsi="Arial" w:cs="Arial"/>
        </w:rPr>
        <w:t xml:space="preserve">which enabled the </w:t>
      </w:r>
      <w:proofErr w:type="spellStart"/>
      <w:r w:rsidR="00F04235">
        <w:rPr>
          <w:rFonts w:ascii="Arial" w:hAnsi="Arial" w:cs="Arial"/>
        </w:rPr>
        <w:t>SmartRoll</w:t>
      </w:r>
      <w:proofErr w:type="spellEnd"/>
      <w:r w:rsidR="00F04235">
        <w:rPr>
          <w:rFonts w:ascii="Arial" w:hAnsi="Arial" w:cs="Arial"/>
        </w:rPr>
        <w:t xml:space="preserve"> process of direct enrolment in that State. </w:t>
      </w:r>
      <w:r w:rsidR="003A0FFE">
        <w:rPr>
          <w:rFonts w:ascii="Arial" w:hAnsi="Arial" w:cs="Arial"/>
        </w:rPr>
        <w:t xml:space="preserve">The following year, the Victorian Parliament introduced direct enrolment through the </w:t>
      </w:r>
      <w:r w:rsidR="00A41875">
        <w:rPr>
          <w:rFonts w:ascii="Arial" w:hAnsi="Arial" w:cs="Arial"/>
          <w:i/>
        </w:rPr>
        <w:t xml:space="preserve">Electoral Amendment (Electoral Participation) Act </w:t>
      </w:r>
      <w:r w:rsidR="00A41875">
        <w:rPr>
          <w:rFonts w:ascii="Arial" w:hAnsi="Arial" w:cs="Arial"/>
          <w:i/>
        </w:rPr>
        <w:lastRenderedPageBreak/>
        <w:t>2010</w:t>
      </w:r>
      <w:r w:rsidR="00A41875">
        <w:rPr>
          <w:rFonts w:ascii="Arial" w:hAnsi="Arial" w:cs="Arial"/>
        </w:rPr>
        <w:t xml:space="preserve">. Two years later, the Commonwealth Parliament passed the </w:t>
      </w:r>
      <w:r w:rsidR="00A41875">
        <w:rPr>
          <w:rFonts w:ascii="Arial" w:hAnsi="Arial" w:cs="Arial"/>
          <w:i/>
        </w:rPr>
        <w:t>Electoral and Referendum Amendment (</w:t>
      </w:r>
      <w:r w:rsidR="00B668B3">
        <w:rPr>
          <w:rFonts w:ascii="Arial" w:hAnsi="Arial" w:cs="Arial"/>
          <w:i/>
        </w:rPr>
        <w:t>Protecting Elector Participation) Act 2012</w:t>
      </w:r>
      <w:r w:rsidR="00B668B3">
        <w:rPr>
          <w:rFonts w:ascii="Arial" w:hAnsi="Arial" w:cs="Arial"/>
        </w:rPr>
        <w:t xml:space="preserve">, enabling direct enrolment, and the </w:t>
      </w:r>
      <w:r w:rsidR="00B668B3">
        <w:rPr>
          <w:rFonts w:ascii="Arial" w:hAnsi="Arial" w:cs="Arial"/>
          <w:i/>
        </w:rPr>
        <w:t>Electoral and Referendum Amendment (Maintaining Address) Act 2012</w:t>
      </w:r>
      <w:r w:rsidR="00B668B3" w:rsidRPr="00B668B3">
        <w:rPr>
          <w:rFonts w:ascii="Arial" w:hAnsi="Arial" w:cs="Arial"/>
        </w:rPr>
        <w:t>, enabling direct update of el</w:t>
      </w:r>
      <w:r w:rsidR="00B668B3">
        <w:rPr>
          <w:rFonts w:ascii="Arial" w:hAnsi="Arial" w:cs="Arial"/>
        </w:rPr>
        <w:t>e</w:t>
      </w:r>
      <w:r w:rsidR="00B668B3" w:rsidRPr="00B668B3">
        <w:rPr>
          <w:rFonts w:ascii="Arial" w:hAnsi="Arial" w:cs="Arial"/>
        </w:rPr>
        <w:t>c</w:t>
      </w:r>
      <w:r w:rsidR="00B668B3">
        <w:rPr>
          <w:rFonts w:ascii="Arial" w:hAnsi="Arial" w:cs="Arial"/>
        </w:rPr>
        <w:t>tors’ enrolment details.</w:t>
      </w:r>
    </w:p>
    <w:p w:rsidR="00B668B3" w:rsidRDefault="009A1B75" w:rsidP="0031377C">
      <w:pPr>
        <w:rPr>
          <w:rFonts w:ascii="Arial" w:hAnsi="Arial" w:cs="Arial"/>
        </w:rPr>
      </w:pPr>
      <w:r>
        <w:rPr>
          <w:rFonts w:ascii="Arial" w:hAnsi="Arial" w:cs="Arial"/>
        </w:rPr>
        <w:t xml:space="preserve">In 2010, the </w:t>
      </w:r>
      <w:r w:rsidR="00BD16A4">
        <w:rPr>
          <w:rFonts w:ascii="Arial" w:hAnsi="Arial" w:cs="Arial"/>
        </w:rPr>
        <w:t xml:space="preserve">Victorian </w:t>
      </w:r>
      <w:r>
        <w:rPr>
          <w:rFonts w:ascii="Arial" w:hAnsi="Arial" w:cs="Arial"/>
        </w:rPr>
        <w:t>Opposition of the time opposed the legislation providing for direct enrolment. However, the report by Parliament’s Electoral Matters Committee on the conduct of the 2010 State election supported automatic (direct enrolment), and recommended legislative amendment to allow data obtained by the VEC as part of the Australian Electoral Commission (AEC)/VEC joint enrolment process to be used for automatic enrolment purposes.</w:t>
      </w:r>
      <w:r>
        <w:rPr>
          <w:rStyle w:val="FootnoteReference"/>
          <w:rFonts w:ascii="Arial" w:hAnsi="Arial" w:cs="Arial"/>
        </w:rPr>
        <w:footnoteReference w:id="3"/>
      </w:r>
      <w:r>
        <w:rPr>
          <w:rFonts w:ascii="Arial" w:hAnsi="Arial" w:cs="Arial"/>
        </w:rPr>
        <w:t xml:space="preserve"> </w:t>
      </w:r>
      <w:r w:rsidR="00EE7158">
        <w:rPr>
          <w:rFonts w:ascii="Arial" w:hAnsi="Arial" w:cs="Arial"/>
        </w:rPr>
        <w:t xml:space="preserve">The </w:t>
      </w:r>
      <w:r w:rsidR="00EE7158">
        <w:rPr>
          <w:rFonts w:ascii="Arial" w:hAnsi="Arial" w:cs="Arial"/>
          <w:i/>
        </w:rPr>
        <w:t>Justice Legislation Amendment Act 2013</w:t>
      </w:r>
      <w:r w:rsidR="00A7423B">
        <w:rPr>
          <w:rFonts w:ascii="Arial" w:hAnsi="Arial" w:cs="Arial"/>
        </w:rPr>
        <w:t xml:space="preserve"> permitted the VEC to use data obtained from the AEC under the joint enrolment arrangement to directly enrol electors, and AEC data has become an important source of direct enrolments. The main current issue arising from direct enrolment is divergence between the Commonwealth and Victorian electoral rolls, which is the consequence of an AEC decision </w:t>
      </w:r>
      <w:r w:rsidR="001C2C5E">
        <w:rPr>
          <w:rFonts w:ascii="Arial" w:hAnsi="Arial" w:cs="Arial"/>
        </w:rPr>
        <w:t>not to accept State data as a basis for Federal direct enrolment</w:t>
      </w:r>
      <w:r w:rsidR="00A94158">
        <w:rPr>
          <w:rFonts w:ascii="Arial" w:hAnsi="Arial" w:cs="Arial"/>
        </w:rPr>
        <w:t>, and of State legislation requiring a witness for new enrolments.</w:t>
      </w:r>
      <w:r w:rsidR="00A94158">
        <w:rPr>
          <w:rStyle w:val="FootnoteReference"/>
          <w:rFonts w:ascii="Arial" w:hAnsi="Arial" w:cs="Arial"/>
        </w:rPr>
        <w:footnoteReference w:id="4"/>
      </w:r>
    </w:p>
    <w:p w:rsidR="00A94158" w:rsidRDefault="00A94158" w:rsidP="0031377C">
      <w:pPr>
        <w:rPr>
          <w:rFonts w:ascii="Arial" w:hAnsi="Arial" w:cs="Arial"/>
        </w:rPr>
      </w:pPr>
      <w:r>
        <w:rPr>
          <w:rFonts w:ascii="Arial" w:hAnsi="Arial" w:cs="Arial"/>
        </w:rPr>
        <w:t xml:space="preserve">The VEC has taken a cautious approach to the implementation </w:t>
      </w:r>
      <w:r w:rsidR="00BD16A4">
        <w:rPr>
          <w:rFonts w:ascii="Arial" w:hAnsi="Arial" w:cs="Arial"/>
        </w:rPr>
        <w:t>of</w:t>
      </w:r>
      <w:r>
        <w:rPr>
          <w:rFonts w:ascii="Arial" w:hAnsi="Arial" w:cs="Arial"/>
        </w:rPr>
        <w:t xml:space="preserve"> direct enrolment. </w:t>
      </w:r>
      <w:r w:rsidR="00AF21D8">
        <w:rPr>
          <w:rFonts w:ascii="Arial" w:hAnsi="Arial" w:cs="Arial"/>
        </w:rPr>
        <w:t xml:space="preserve">In 2010, the </w:t>
      </w:r>
      <w:r w:rsidR="000D120C">
        <w:rPr>
          <w:rFonts w:ascii="Arial" w:hAnsi="Arial" w:cs="Arial"/>
        </w:rPr>
        <w:t>VEC began by writing to 1,932 students registered with the Victorian Curriculum and Assessment Authority (VCAA), who were 18 years old and not yet enrolled. Some 93 per cent of these students were directly enrolled.</w:t>
      </w:r>
      <w:r w:rsidR="000D120C">
        <w:rPr>
          <w:rStyle w:val="FootnoteReference"/>
          <w:rFonts w:ascii="Arial" w:hAnsi="Arial" w:cs="Arial"/>
        </w:rPr>
        <w:footnoteReference w:id="5"/>
      </w:r>
      <w:r w:rsidR="000D120C">
        <w:rPr>
          <w:rFonts w:ascii="Arial" w:hAnsi="Arial" w:cs="Arial"/>
        </w:rPr>
        <w:t xml:space="preserve"> The VEC gradually expanded the scope of direct enrolment, to new sources of information, particularly VicRoads, and to enrolment updates as well as new enrolments. At each stage, the VEC considered </w:t>
      </w:r>
      <w:r w:rsidR="00B61F46">
        <w:rPr>
          <w:rFonts w:ascii="Arial" w:hAnsi="Arial" w:cs="Arial"/>
        </w:rPr>
        <w:t xml:space="preserve">the nature and reliability of the database, </w:t>
      </w:r>
      <w:r w:rsidR="00E34BFF">
        <w:rPr>
          <w:rFonts w:ascii="Arial" w:hAnsi="Arial" w:cs="Arial"/>
        </w:rPr>
        <w:t>check</w:t>
      </w:r>
      <w:r w:rsidR="00B01B9F">
        <w:rPr>
          <w:rFonts w:ascii="Arial" w:hAnsi="Arial" w:cs="Arial"/>
        </w:rPr>
        <w:t>ed</w:t>
      </w:r>
      <w:r w:rsidR="00E34BFF">
        <w:rPr>
          <w:rFonts w:ascii="Arial" w:hAnsi="Arial" w:cs="Arial"/>
        </w:rPr>
        <w:t xml:space="preserve"> the data for eligibility using information from Births, Deaths and Marriages </w:t>
      </w:r>
      <w:r w:rsidR="00B01B9F">
        <w:rPr>
          <w:rFonts w:ascii="Arial" w:hAnsi="Arial" w:cs="Arial"/>
        </w:rPr>
        <w:t xml:space="preserve">and from the Department of Immigration and Border Protection, and measured the results of each mail-out. As </w:t>
      </w:r>
      <w:r w:rsidR="00CA0BED">
        <w:rPr>
          <w:rFonts w:ascii="Arial" w:hAnsi="Arial" w:cs="Arial"/>
        </w:rPr>
        <w:t>Figur</w:t>
      </w:r>
      <w:r w:rsidR="00B01B9F">
        <w:rPr>
          <w:rFonts w:ascii="Arial" w:hAnsi="Arial" w:cs="Arial"/>
        </w:rPr>
        <w:t>e 1 shows, the number of direct enrolment transactions has grown enormously, from 5,904 in 2010-11 to 191,849 in 2015-16</w:t>
      </w:r>
      <w:r w:rsidR="000D3739">
        <w:rPr>
          <w:rStyle w:val="FootnoteReference"/>
          <w:rFonts w:ascii="Arial" w:hAnsi="Arial" w:cs="Arial"/>
        </w:rPr>
        <w:footnoteReference w:id="6"/>
      </w:r>
      <w:r w:rsidR="00B01B9F">
        <w:rPr>
          <w:rFonts w:ascii="Arial" w:hAnsi="Arial" w:cs="Arial"/>
        </w:rPr>
        <w:t>.</w:t>
      </w:r>
    </w:p>
    <w:p w:rsidR="00B01B9F" w:rsidRDefault="00CA0BED" w:rsidP="0031377C">
      <w:pPr>
        <w:rPr>
          <w:rFonts w:ascii="Arial" w:hAnsi="Arial" w:cs="Arial"/>
        </w:rPr>
      </w:pPr>
      <w:r>
        <w:rPr>
          <w:noProof/>
          <w:lang w:eastAsia="en-AU"/>
        </w:rPr>
        <w:lastRenderedPageBreak/>
        <w:drawing>
          <wp:inline distT="0" distB="0" distL="0" distR="0" wp14:anchorId="34D25981" wp14:editId="04C07ED6">
            <wp:extent cx="4572000" cy="2743200"/>
            <wp:effectExtent l="0" t="0" r="19050" b="19050"/>
            <wp:docPr id="1" name="Chart 1" title="Fig 1: direct enrolment transact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A0BED" w:rsidRDefault="00A365A1" w:rsidP="0031377C">
      <w:pPr>
        <w:rPr>
          <w:rFonts w:ascii="Arial" w:hAnsi="Arial" w:cs="Arial"/>
        </w:rPr>
      </w:pPr>
      <w:r>
        <w:rPr>
          <w:rFonts w:ascii="Arial" w:hAnsi="Arial" w:cs="Arial"/>
        </w:rPr>
        <w:t>With more than 850,000 transactions in six years, direct enrolment is one of the main sources of enrolment updates in Victoria. Direct enrolment has been responsible for a steady rise in Victoria’s enrolment rate (electors as a proportion of the estimated eligible population), from 90.95</w:t>
      </w:r>
      <w:r w:rsidR="007A7A7B">
        <w:rPr>
          <w:rFonts w:ascii="Arial" w:hAnsi="Arial" w:cs="Arial"/>
        </w:rPr>
        <w:t>%</w:t>
      </w:r>
      <w:r>
        <w:rPr>
          <w:rFonts w:ascii="Arial" w:hAnsi="Arial" w:cs="Arial"/>
        </w:rPr>
        <w:t xml:space="preserve"> in 2010 to 95.4 </w:t>
      </w:r>
      <w:r w:rsidR="007A7A7B">
        <w:rPr>
          <w:rFonts w:ascii="Arial" w:hAnsi="Arial" w:cs="Arial"/>
        </w:rPr>
        <w:t>%</w:t>
      </w:r>
      <w:r>
        <w:rPr>
          <w:rFonts w:ascii="Arial" w:hAnsi="Arial" w:cs="Arial"/>
        </w:rPr>
        <w:t xml:space="preserve"> in 2016. </w:t>
      </w:r>
      <w:r w:rsidR="00B234F4">
        <w:rPr>
          <w:rFonts w:ascii="Arial" w:hAnsi="Arial" w:cs="Arial"/>
        </w:rPr>
        <w:t>Nevertheless, there have been concerns that direct enrolment will encourage passivity on the part of electors, and that directly enrolled electors will be less inclined to vote. In this context, it is useful to examine the nature and voting behaviour of directly enrolled electors, and to learn their own views about direct enrolment.</w:t>
      </w:r>
    </w:p>
    <w:p w:rsidR="00B234F4" w:rsidRDefault="00B234F4">
      <w:pPr>
        <w:rPr>
          <w:rFonts w:ascii="Arial" w:hAnsi="Arial" w:cs="Arial"/>
        </w:rPr>
      </w:pPr>
      <w:r>
        <w:rPr>
          <w:rFonts w:ascii="Arial" w:hAnsi="Arial" w:cs="Arial"/>
        </w:rPr>
        <w:br w:type="page"/>
      </w:r>
    </w:p>
    <w:p w:rsidR="00B234F4" w:rsidRPr="00FF5D90" w:rsidRDefault="00B234F4" w:rsidP="00C96081">
      <w:pPr>
        <w:pStyle w:val="Heading2"/>
        <w:rPr>
          <w:rFonts w:ascii="Arial" w:hAnsi="Arial" w:cs="Arial"/>
          <w:color w:val="7D922E"/>
          <w:sz w:val="28"/>
          <w:szCs w:val="28"/>
        </w:rPr>
      </w:pPr>
      <w:bookmarkStart w:id="3" w:name="_Toc491857278"/>
      <w:r w:rsidRPr="00FF5D90">
        <w:rPr>
          <w:rFonts w:ascii="Arial" w:hAnsi="Arial" w:cs="Arial"/>
          <w:color w:val="7D922E"/>
          <w:sz w:val="28"/>
          <w:szCs w:val="28"/>
        </w:rPr>
        <w:lastRenderedPageBreak/>
        <w:t>2. The nature of directly enrolled electors</w:t>
      </w:r>
      <w:bookmarkEnd w:id="3"/>
    </w:p>
    <w:p w:rsidR="00B234F4" w:rsidRDefault="008F0E33" w:rsidP="0031377C">
      <w:pPr>
        <w:rPr>
          <w:rFonts w:ascii="Arial" w:hAnsi="Arial" w:cs="Arial"/>
        </w:rPr>
      </w:pPr>
      <w:r>
        <w:rPr>
          <w:rFonts w:ascii="Arial" w:hAnsi="Arial" w:cs="Arial"/>
        </w:rPr>
        <w:t xml:space="preserve">The VEC’s Electoral Enrolment Branch generated a report of all enrolment transactions between 1 January 2013 and 17 June 2016, covering an extended period in which direct enrolment has been in full operation. This has enabled a comparison of directly enrolled electors and electors in general according to a range of categories. Transactions have been divided into two </w:t>
      </w:r>
      <w:r w:rsidR="00FB6DC0">
        <w:rPr>
          <w:rFonts w:ascii="Arial" w:hAnsi="Arial" w:cs="Arial"/>
        </w:rPr>
        <w:t xml:space="preserve">main </w:t>
      </w:r>
      <w:r>
        <w:rPr>
          <w:rFonts w:ascii="Arial" w:hAnsi="Arial" w:cs="Arial"/>
        </w:rPr>
        <w:t xml:space="preserve">categories – new enrolments and changes of address. </w:t>
      </w:r>
      <w:r w:rsidR="00FB6DC0">
        <w:rPr>
          <w:rFonts w:ascii="Arial" w:hAnsi="Arial" w:cs="Arial"/>
        </w:rPr>
        <w:t>Within the changes of address group are reinstated electors – those who were previously on the roll but who were removed for various reasons (mostly for non-residence after leaving their address and failing to update their enrolment), and who were later picked up by the direct enrolment program. The period that these reinstated electors had been off the roll range from a few months to almost 20 years.</w:t>
      </w:r>
    </w:p>
    <w:p w:rsidR="008F0E33" w:rsidRPr="00FF5D90" w:rsidRDefault="008F0E33" w:rsidP="008F0E33">
      <w:pPr>
        <w:pStyle w:val="Heading3"/>
        <w:rPr>
          <w:rFonts w:ascii="Arial" w:hAnsi="Arial" w:cs="Arial"/>
          <w:color w:val="7D922E"/>
          <w:sz w:val="24"/>
          <w:szCs w:val="24"/>
        </w:rPr>
      </w:pPr>
      <w:bookmarkStart w:id="4" w:name="_Toc491857279"/>
      <w:r w:rsidRPr="00FF5D90">
        <w:rPr>
          <w:rFonts w:ascii="Arial" w:hAnsi="Arial" w:cs="Arial"/>
          <w:color w:val="7D922E"/>
          <w:sz w:val="24"/>
          <w:szCs w:val="24"/>
        </w:rPr>
        <w:t>Overall numbers</w:t>
      </w:r>
      <w:bookmarkEnd w:id="4"/>
    </w:p>
    <w:p w:rsidR="008F0E33" w:rsidRDefault="00BA7472" w:rsidP="008F0E33">
      <w:pPr>
        <w:rPr>
          <w:rFonts w:ascii="Arial" w:hAnsi="Arial" w:cs="Arial"/>
        </w:rPr>
      </w:pPr>
      <w:r w:rsidRPr="00BA7472">
        <w:rPr>
          <w:rFonts w:ascii="Arial" w:hAnsi="Arial" w:cs="Arial"/>
        </w:rPr>
        <w:t xml:space="preserve">Table 1 shows </w:t>
      </w:r>
      <w:r>
        <w:rPr>
          <w:rFonts w:ascii="Arial" w:hAnsi="Arial" w:cs="Arial"/>
        </w:rPr>
        <w:t>the number of directly enrolled electors, and compares enrolment transactions as a whole over 2013-2016.</w:t>
      </w:r>
    </w:p>
    <w:tbl>
      <w:tblPr>
        <w:tblStyle w:val="LightList-Accent3"/>
        <w:tblW w:w="0" w:type="auto"/>
        <w:tblLook w:val="04A0" w:firstRow="1" w:lastRow="0" w:firstColumn="1" w:lastColumn="0" w:noHBand="0" w:noVBand="1"/>
        <w:tblCaption w:val="Table 1: number of direct enrolments"/>
      </w:tblPr>
      <w:tblGrid>
        <w:gridCol w:w="3080"/>
        <w:gridCol w:w="3081"/>
        <w:gridCol w:w="3081"/>
      </w:tblGrid>
      <w:tr w:rsidR="00BA7472" w:rsidRPr="00BA7472" w:rsidTr="00B471D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BA7472" w:rsidRPr="00CD07B6" w:rsidRDefault="00BA7472" w:rsidP="00CD07B6">
            <w:pPr>
              <w:rPr>
                <w:rFonts w:ascii="Arial" w:hAnsi="Arial" w:cs="Arial"/>
              </w:rPr>
            </w:pPr>
            <w:r w:rsidRPr="00CD07B6">
              <w:rPr>
                <w:rFonts w:ascii="Arial" w:hAnsi="Arial" w:cs="Arial"/>
              </w:rPr>
              <w:t>Type of Change</w:t>
            </w:r>
          </w:p>
        </w:tc>
        <w:tc>
          <w:tcPr>
            <w:tcW w:w="3081" w:type="dxa"/>
            <w:vAlign w:val="center"/>
          </w:tcPr>
          <w:p w:rsidR="00BA7472" w:rsidRPr="00CD07B6" w:rsidRDefault="00BA7472" w:rsidP="00CD07B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D07B6">
              <w:rPr>
                <w:rFonts w:ascii="Arial" w:hAnsi="Arial" w:cs="Arial"/>
              </w:rPr>
              <w:t>Directly enrolled</w:t>
            </w:r>
          </w:p>
        </w:tc>
        <w:tc>
          <w:tcPr>
            <w:tcW w:w="3081" w:type="dxa"/>
            <w:vAlign w:val="center"/>
          </w:tcPr>
          <w:p w:rsidR="00BA7472" w:rsidRPr="00CD07B6" w:rsidRDefault="00BA7472" w:rsidP="00CD07B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D07B6">
              <w:rPr>
                <w:rFonts w:ascii="Arial" w:hAnsi="Arial" w:cs="Arial"/>
              </w:rPr>
              <w:t>Total enrolments</w:t>
            </w:r>
          </w:p>
        </w:tc>
      </w:tr>
      <w:tr w:rsidR="00BA7472" w:rsidTr="00CD07B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BA7472" w:rsidRPr="00CD07B6" w:rsidRDefault="00BA7472" w:rsidP="00FF5D90">
            <w:pPr>
              <w:rPr>
                <w:rFonts w:ascii="Arial" w:hAnsi="Arial" w:cs="Arial"/>
                <w:b w:val="0"/>
              </w:rPr>
            </w:pPr>
            <w:r w:rsidRPr="00CD07B6">
              <w:rPr>
                <w:rFonts w:ascii="Arial" w:hAnsi="Arial" w:cs="Arial"/>
                <w:b w:val="0"/>
              </w:rPr>
              <w:t>New enrolments</w:t>
            </w:r>
          </w:p>
        </w:tc>
        <w:tc>
          <w:tcPr>
            <w:tcW w:w="3081" w:type="dxa"/>
            <w:vAlign w:val="center"/>
          </w:tcPr>
          <w:p w:rsidR="00BA7472" w:rsidRDefault="00BA7472"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63,915</w:t>
            </w:r>
          </w:p>
          <w:p w:rsidR="00141C1A" w:rsidRDefault="00CD07B6"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13.93% of total transactions</w:t>
            </w:r>
          </w:p>
        </w:tc>
        <w:tc>
          <w:tcPr>
            <w:tcW w:w="3081" w:type="dxa"/>
            <w:vAlign w:val="center"/>
          </w:tcPr>
          <w:p w:rsidR="00BA7472" w:rsidRDefault="00141C1A"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458,720</w:t>
            </w:r>
          </w:p>
        </w:tc>
      </w:tr>
      <w:tr w:rsidR="00141C1A" w:rsidTr="00CD07B6">
        <w:trPr>
          <w:trHeight w:val="68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141C1A" w:rsidRPr="00CD07B6" w:rsidRDefault="00770580" w:rsidP="00FF5D90">
            <w:pPr>
              <w:rPr>
                <w:rFonts w:ascii="Arial" w:hAnsi="Arial" w:cs="Arial"/>
                <w:b w:val="0"/>
              </w:rPr>
            </w:pPr>
            <w:r w:rsidRPr="00CD07B6">
              <w:rPr>
                <w:rFonts w:ascii="Arial" w:hAnsi="Arial" w:cs="Arial"/>
                <w:b w:val="0"/>
              </w:rPr>
              <w:t>Address changes</w:t>
            </w:r>
          </w:p>
        </w:tc>
        <w:tc>
          <w:tcPr>
            <w:tcW w:w="3081" w:type="dxa"/>
            <w:vAlign w:val="center"/>
          </w:tcPr>
          <w:p w:rsidR="00141C1A" w:rsidRDefault="008D148E"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693,961</w:t>
            </w:r>
          </w:p>
          <w:p w:rsidR="008D148E" w:rsidRDefault="00CD07B6"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41.42% of total changes</w:t>
            </w:r>
          </w:p>
        </w:tc>
        <w:tc>
          <w:tcPr>
            <w:tcW w:w="3081" w:type="dxa"/>
            <w:vAlign w:val="center"/>
          </w:tcPr>
          <w:p w:rsidR="00FB6DC0" w:rsidRDefault="008D148E"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1,675,577</w:t>
            </w:r>
          </w:p>
        </w:tc>
      </w:tr>
      <w:tr w:rsidR="00FB6DC0" w:rsidTr="00CD07B6">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080" w:type="dxa"/>
            <w:vAlign w:val="center"/>
          </w:tcPr>
          <w:p w:rsidR="00FB6DC0" w:rsidRPr="00CD07B6" w:rsidRDefault="00FB6DC0" w:rsidP="00FF5D90">
            <w:pPr>
              <w:rPr>
                <w:rFonts w:ascii="Arial" w:hAnsi="Arial" w:cs="Arial"/>
                <w:b w:val="0"/>
              </w:rPr>
            </w:pPr>
            <w:r w:rsidRPr="00CD07B6">
              <w:rPr>
                <w:rFonts w:ascii="Arial" w:hAnsi="Arial" w:cs="Arial"/>
                <w:b w:val="0"/>
              </w:rPr>
              <w:t>Reinstatements</w:t>
            </w:r>
          </w:p>
        </w:tc>
        <w:tc>
          <w:tcPr>
            <w:tcW w:w="3081" w:type="dxa"/>
            <w:vAlign w:val="center"/>
          </w:tcPr>
          <w:p w:rsidR="00FB6DC0" w:rsidRDefault="00FB6DC0"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46,999</w:t>
            </w:r>
          </w:p>
          <w:p w:rsidR="00FB6DC0" w:rsidRDefault="00341A3C"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6.77% of direct updates</w:t>
            </w:r>
          </w:p>
        </w:tc>
        <w:tc>
          <w:tcPr>
            <w:tcW w:w="3081" w:type="dxa"/>
            <w:vAlign w:val="center"/>
          </w:tcPr>
          <w:p w:rsidR="00FB6DC0" w:rsidRDefault="00FB6DC0"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BA7472" w:rsidRDefault="008D148E" w:rsidP="008F0E33">
      <w:pPr>
        <w:rPr>
          <w:rFonts w:ascii="Arial" w:hAnsi="Arial" w:cs="Arial"/>
          <w:b/>
          <w:sz w:val="20"/>
          <w:szCs w:val="20"/>
        </w:rPr>
      </w:pPr>
      <w:r w:rsidRPr="00A14F9F">
        <w:rPr>
          <w:rFonts w:ascii="Arial" w:hAnsi="Arial" w:cs="Arial"/>
          <w:b/>
          <w:sz w:val="20"/>
          <w:szCs w:val="20"/>
        </w:rPr>
        <w:t xml:space="preserve">Table 1: </w:t>
      </w:r>
      <w:r w:rsidR="00A14F9F" w:rsidRPr="00A14F9F">
        <w:rPr>
          <w:rFonts w:ascii="Arial" w:hAnsi="Arial" w:cs="Arial"/>
          <w:b/>
          <w:sz w:val="20"/>
          <w:szCs w:val="20"/>
        </w:rPr>
        <w:t>N</w:t>
      </w:r>
      <w:r w:rsidRPr="00A14F9F">
        <w:rPr>
          <w:rFonts w:ascii="Arial" w:hAnsi="Arial" w:cs="Arial"/>
          <w:b/>
          <w:sz w:val="20"/>
          <w:szCs w:val="20"/>
        </w:rPr>
        <w:t>umber of direct enrolments</w:t>
      </w:r>
    </w:p>
    <w:p w:rsidR="00A14F9F" w:rsidRDefault="00A14F9F" w:rsidP="008F0E33">
      <w:pPr>
        <w:rPr>
          <w:rFonts w:ascii="Arial" w:hAnsi="Arial" w:cs="Arial"/>
        </w:rPr>
      </w:pPr>
      <w:r>
        <w:rPr>
          <w:rFonts w:ascii="Arial" w:hAnsi="Arial" w:cs="Arial"/>
        </w:rPr>
        <w:t xml:space="preserve">Direct enrolments make up a comparatively small proportion of new enrolments, but almost half of address updates. This reflects the growth of the direct enrolment </w:t>
      </w:r>
      <w:proofErr w:type="gramStart"/>
      <w:r>
        <w:rPr>
          <w:rFonts w:ascii="Arial" w:hAnsi="Arial" w:cs="Arial"/>
        </w:rPr>
        <w:t>program,</w:t>
      </w:r>
      <w:proofErr w:type="gramEnd"/>
      <w:r>
        <w:rPr>
          <w:rFonts w:ascii="Arial" w:hAnsi="Arial" w:cs="Arial"/>
        </w:rPr>
        <w:t xml:space="preserve"> and in particular its approach of promptly updating electors’ enrolments when it receives information from VicRoads.</w:t>
      </w:r>
      <w:r w:rsidR="00341A3C">
        <w:rPr>
          <w:rFonts w:ascii="Arial" w:hAnsi="Arial" w:cs="Arial"/>
        </w:rPr>
        <w:t xml:space="preserve"> Reinstated electors comprise only one in 15 directly enrolled updates.</w:t>
      </w:r>
    </w:p>
    <w:p w:rsidR="00A14F9F" w:rsidRPr="00FF5D90" w:rsidRDefault="00A14F9F" w:rsidP="00A14F9F">
      <w:pPr>
        <w:pStyle w:val="Heading3"/>
        <w:rPr>
          <w:rFonts w:ascii="Arial" w:hAnsi="Arial" w:cs="Arial"/>
          <w:color w:val="7D922E"/>
          <w:sz w:val="24"/>
          <w:szCs w:val="24"/>
        </w:rPr>
      </w:pPr>
      <w:bookmarkStart w:id="5" w:name="_Toc491857280"/>
      <w:r w:rsidRPr="00FF5D90">
        <w:rPr>
          <w:rFonts w:ascii="Arial" w:hAnsi="Arial" w:cs="Arial"/>
          <w:color w:val="7D922E"/>
          <w:sz w:val="24"/>
          <w:szCs w:val="24"/>
        </w:rPr>
        <w:t>Gender</w:t>
      </w:r>
      <w:bookmarkEnd w:id="5"/>
    </w:p>
    <w:p w:rsidR="00A14F9F" w:rsidRDefault="00A14F9F" w:rsidP="00A14F9F">
      <w:pPr>
        <w:rPr>
          <w:rFonts w:ascii="Arial" w:hAnsi="Arial" w:cs="Arial"/>
        </w:rPr>
      </w:pPr>
      <w:r w:rsidRPr="00BA7472">
        <w:rPr>
          <w:rFonts w:ascii="Arial" w:hAnsi="Arial" w:cs="Arial"/>
        </w:rPr>
        <w:t xml:space="preserve">Table </w:t>
      </w:r>
      <w:r>
        <w:rPr>
          <w:rFonts w:ascii="Arial" w:hAnsi="Arial" w:cs="Arial"/>
        </w:rPr>
        <w:t>2</w:t>
      </w:r>
      <w:r w:rsidRPr="00BA7472">
        <w:rPr>
          <w:rFonts w:ascii="Arial" w:hAnsi="Arial" w:cs="Arial"/>
        </w:rPr>
        <w:t xml:space="preserve"> shows </w:t>
      </w:r>
      <w:r>
        <w:rPr>
          <w:rFonts w:ascii="Arial" w:hAnsi="Arial" w:cs="Arial"/>
        </w:rPr>
        <w:t xml:space="preserve">the gender balance </w:t>
      </w:r>
      <w:r w:rsidR="00C96081">
        <w:rPr>
          <w:rFonts w:ascii="Arial" w:hAnsi="Arial" w:cs="Arial"/>
        </w:rPr>
        <w:t xml:space="preserve">of </w:t>
      </w:r>
      <w:r>
        <w:rPr>
          <w:rFonts w:ascii="Arial" w:hAnsi="Arial" w:cs="Arial"/>
        </w:rPr>
        <w:t xml:space="preserve">directly enrolled electors, compared </w:t>
      </w:r>
      <w:r w:rsidR="00791E01">
        <w:rPr>
          <w:rFonts w:ascii="Arial" w:hAnsi="Arial" w:cs="Arial"/>
        </w:rPr>
        <w:t xml:space="preserve">with </w:t>
      </w:r>
      <w:r>
        <w:rPr>
          <w:rFonts w:ascii="Arial" w:hAnsi="Arial" w:cs="Arial"/>
        </w:rPr>
        <w:t>enrolment transactions as a whole.</w:t>
      </w:r>
    </w:p>
    <w:tbl>
      <w:tblPr>
        <w:tblStyle w:val="LightList-Accent3"/>
        <w:tblW w:w="0" w:type="auto"/>
        <w:tblLook w:val="04A0" w:firstRow="1" w:lastRow="0" w:firstColumn="1" w:lastColumn="0" w:noHBand="0" w:noVBand="1"/>
        <w:tblCaption w:val="Table 2: gender balance of direct enrolments"/>
      </w:tblPr>
      <w:tblGrid>
        <w:gridCol w:w="2310"/>
        <w:gridCol w:w="2310"/>
        <w:gridCol w:w="2311"/>
        <w:gridCol w:w="2311"/>
      </w:tblGrid>
      <w:tr w:rsidR="00A14F9F" w:rsidTr="00B471D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10" w:type="dxa"/>
            <w:vAlign w:val="center"/>
          </w:tcPr>
          <w:p w:rsidR="00A14F9F" w:rsidRPr="00CD07B6" w:rsidRDefault="00A14F9F" w:rsidP="00CD07B6">
            <w:pPr>
              <w:rPr>
                <w:rFonts w:ascii="Arial" w:hAnsi="Arial" w:cs="Arial"/>
              </w:rPr>
            </w:pPr>
            <w:r w:rsidRPr="00CD07B6">
              <w:rPr>
                <w:rFonts w:ascii="Arial" w:hAnsi="Arial" w:cs="Arial"/>
              </w:rPr>
              <w:t>Type of Change</w:t>
            </w:r>
          </w:p>
        </w:tc>
        <w:tc>
          <w:tcPr>
            <w:tcW w:w="2310" w:type="dxa"/>
            <w:vAlign w:val="center"/>
          </w:tcPr>
          <w:p w:rsidR="00A14F9F" w:rsidRPr="00CD07B6" w:rsidRDefault="00A14F9F" w:rsidP="00CD07B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D07B6">
              <w:rPr>
                <w:rFonts w:ascii="Arial" w:hAnsi="Arial" w:cs="Arial"/>
              </w:rPr>
              <w:t>Gender</w:t>
            </w:r>
          </w:p>
        </w:tc>
        <w:tc>
          <w:tcPr>
            <w:tcW w:w="2311" w:type="dxa"/>
            <w:vAlign w:val="center"/>
          </w:tcPr>
          <w:p w:rsidR="00A14F9F" w:rsidRPr="00CD07B6" w:rsidRDefault="00A14F9F" w:rsidP="00CD07B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D07B6">
              <w:rPr>
                <w:rFonts w:ascii="Arial" w:hAnsi="Arial" w:cs="Arial"/>
              </w:rPr>
              <w:t>Directly enrolled</w:t>
            </w:r>
          </w:p>
        </w:tc>
        <w:tc>
          <w:tcPr>
            <w:tcW w:w="2311" w:type="dxa"/>
            <w:vAlign w:val="center"/>
          </w:tcPr>
          <w:p w:rsidR="00A14F9F" w:rsidRPr="00CD07B6" w:rsidRDefault="00A14F9F" w:rsidP="00CD07B6">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CD07B6">
              <w:rPr>
                <w:rFonts w:ascii="Arial" w:hAnsi="Arial" w:cs="Arial"/>
              </w:rPr>
              <w:t>Total enrolments</w:t>
            </w:r>
          </w:p>
        </w:tc>
      </w:tr>
      <w:tr w:rsidR="00A14F9F" w:rsidTr="00CD07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10" w:type="dxa"/>
            <w:vMerge w:val="restart"/>
            <w:vAlign w:val="center"/>
          </w:tcPr>
          <w:p w:rsidR="00A14F9F" w:rsidRPr="00CD07B6" w:rsidRDefault="00A14F9F" w:rsidP="00FF5D90">
            <w:pPr>
              <w:rPr>
                <w:rFonts w:ascii="Arial" w:hAnsi="Arial" w:cs="Arial"/>
                <w:b w:val="0"/>
              </w:rPr>
            </w:pPr>
            <w:r w:rsidRPr="00CD07B6">
              <w:rPr>
                <w:rFonts w:ascii="Arial" w:hAnsi="Arial" w:cs="Arial"/>
                <w:b w:val="0"/>
              </w:rPr>
              <w:t>New enrolments</w:t>
            </w:r>
          </w:p>
        </w:tc>
        <w:tc>
          <w:tcPr>
            <w:tcW w:w="2310" w:type="dxa"/>
            <w:vAlign w:val="center"/>
          </w:tcPr>
          <w:p w:rsidR="00A14F9F" w:rsidRDefault="00C96081"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Male</w:t>
            </w:r>
          </w:p>
        </w:tc>
        <w:tc>
          <w:tcPr>
            <w:tcW w:w="2311" w:type="dxa"/>
            <w:vAlign w:val="center"/>
          </w:tcPr>
          <w:p w:rsidR="00C96081" w:rsidRDefault="00FF5D90"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36,307 (56.81%)</w:t>
            </w:r>
          </w:p>
        </w:tc>
        <w:tc>
          <w:tcPr>
            <w:tcW w:w="2311" w:type="dxa"/>
            <w:vAlign w:val="center"/>
          </w:tcPr>
          <w:p w:rsidR="00A14F9F" w:rsidRDefault="00C96081"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230,634 (50.28%)</w:t>
            </w:r>
          </w:p>
        </w:tc>
      </w:tr>
      <w:tr w:rsidR="00A14F9F" w:rsidTr="00CD07B6">
        <w:trPr>
          <w:trHeight w:val="397"/>
        </w:trPr>
        <w:tc>
          <w:tcPr>
            <w:cnfStyle w:val="001000000000" w:firstRow="0" w:lastRow="0" w:firstColumn="1" w:lastColumn="0" w:oddVBand="0" w:evenVBand="0" w:oddHBand="0" w:evenHBand="0" w:firstRowFirstColumn="0" w:firstRowLastColumn="0" w:lastRowFirstColumn="0" w:lastRowLastColumn="0"/>
            <w:tcW w:w="2310" w:type="dxa"/>
            <w:vMerge/>
            <w:vAlign w:val="center"/>
          </w:tcPr>
          <w:p w:rsidR="00A14F9F" w:rsidRPr="00CD07B6" w:rsidRDefault="00A14F9F" w:rsidP="00FF5D90">
            <w:pPr>
              <w:rPr>
                <w:rFonts w:ascii="Arial" w:hAnsi="Arial" w:cs="Arial"/>
                <w:b w:val="0"/>
              </w:rPr>
            </w:pPr>
          </w:p>
        </w:tc>
        <w:tc>
          <w:tcPr>
            <w:tcW w:w="2310" w:type="dxa"/>
            <w:vAlign w:val="center"/>
          </w:tcPr>
          <w:p w:rsidR="00A14F9F" w:rsidRDefault="00C96081"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Female</w:t>
            </w:r>
          </w:p>
        </w:tc>
        <w:tc>
          <w:tcPr>
            <w:tcW w:w="2311" w:type="dxa"/>
            <w:vAlign w:val="center"/>
          </w:tcPr>
          <w:p w:rsidR="00C96081" w:rsidRDefault="00C96081"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27,600 (43.18%)</w:t>
            </w:r>
          </w:p>
        </w:tc>
        <w:tc>
          <w:tcPr>
            <w:tcW w:w="2311" w:type="dxa"/>
            <w:vAlign w:val="center"/>
          </w:tcPr>
          <w:p w:rsidR="00A14F9F" w:rsidRDefault="00C96081"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227,851 (49.67%)</w:t>
            </w:r>
          </w:p>
        </w:tc>
      </w:tr>
      <w:tr w:rsidR="00C96081" w:rsidTr="00CD07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10" w:type="dxa"/>
            <w:vMerge w:val="restart"/>
            <w:vAlign w:val="center"/>
          </w:tcPr>
          <w:p w:rsidR="00C96081" w:rsidRPr="00CD07B6" w:rsidRDefault="00C96081" w:rsidP="00FF5D90">
            <w:pPr>
              <w:rPr>
                <w:rFonts w:ascii="Arial" w:hAnsi="Arial" w:cs="Arial"/>
                <w:b w:val="0"/>
              </w:rPr>
            </w:pPr>
            <w:r w:rsidRPr="00CD07B6">
              <w:rPr>
                <w:rFonts w:ascii="Arial" w:hAnsi="Arial" w:cs="Arial"/>
                <w:b w:val="0"/>
              </w:rPr>
              <w:t>Address changes</w:t>
            </w:r>
          </w:p>
        </w:tc>
        <w:tc>
          <w:tcPr>
            <w:tcW w:w="2310" w:type="dxa"/>
            <w:vAlign w:val="center"/>
          </w:tcPr>
          <w:p w:rsidR="00C96081" w:rsidRDefault="00C96081"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Male</w:t>
            </w:r>
          </w:p>
        </w:tc>
        <w:tc>
          <w:tcPr>
            <w:tcW w:w="2311" w:type="dxa"/>
            <w:vAlign w:val="center"/>
          </w:tcPr>
          <w:p w:rsidR="00C96081" w:rsidRDefault="00FF5D90"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354,178 (51.04%)</w:t>
            </w:r>
          </w:p>
        </w:tc>
        <w:tc>
          <w:tcPr>
            <w:tcW w:w="2311" w:type="dxa"/>
            <w:vAlign w:val="center"/>
          </w:tcPr>
          <w:p w:rsidR="00C96081" w:rsidRDefault="00C96081"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809,899 (48.34%)</w:t>
            </w:r>
          </w:p>
        </w:tc>
      </w:tr>
      <w:tr w:rsidR="00C96081" w:rsidTr="00CD07B6">
        <w:trPr>
          <w:trHeight w:val="397"/>
        </w:trPr>
        <w:tc>
          <w:tcPr>
            <w:cnfStyle w:val="001000000000" w:firstRow="0" w:lastRow="0" w:firstColumn="1" w:lastColumn="0" w:oddVBand="0" w:evenVBand="0" w:oddHBand="0" w:evenHBand="0" w:firstRowFirstColumn="0" w:firstRowLastColumn="0" w:lastRowFirstColumn="0" w:lastRowLastColumn="0"/>
            <w:tcW w:w="2310" w:type="dxa"/>
            <w:vMerge/>
            <w:vAlign w:val="center"/>
          </w:tcPr>
          <w:p w:rsidR="00C96081" w:rsidRPr="00CD07B6" w:rsidRDefault="00C96081" w:rsidP="00FF5D90">
            <w:pPr>
              <w:rPr>
                <w:rFonts w:ascii="Arial" w:hAnsi="Arial" w:cs="Arial"/>
                <w:b w:val="0"/>
              </w:rPr>
            </w:pPr>
          </w:p>
        </w:tc>
        <w:tc>
          <w:tcPr>
            <w:tcW w:w="2310" w:type="dxa"/>
            <w:vAlign w:val="center"/>
          </w:tcPr>
          <w:p w:rsidR="00C96081" w:rsidRDefault="00C96081"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Female</w:t>
            </w:r>
          </w:p>
        </w:tc>
        <w:tc>
          <w:tcPr>
            <w:tcW w:w="2311" w:type="dxa"/>
            <w:vAlign w:val="center"/>
          </w:tcPr>
          <w:p w:rsidR="00C96081" w:rsidRDefault="00FF5D90"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339,778 (48.96%)</w:t>
            </w:r>
          </w:p>
        </w:tc>
        <w:tc>
          <w:tcPr>
            <w:tcW w:w="2311" w:type="dxa"/>
            <w:vAlign w:val="center"/>
          </w:tcPr>
          <w:p w:rsidR="00341A3C" w:rsidRDefault="00CD07B6"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865,619 (51.66%)</w:t>
            </w:r>
          </w:p>
        </w:tc>
      </w:tr>
      <w:tr w:rsidR="00341A3C" w:rsidTr="00CD07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10" w:type="dxa"/>
            <w:vMerge w:val="restart"/>
            <w:vAlign w:val="center"/>
          </w:tcPr>
          <w:p w:rsidR="00341A3C" w:rsidRPr="00CD07B6" w:rsidRDefault="00341A3C" w:rsidP="00FF5D90">
            <w:pPr>
              <w:rPr>
                <w:rFonts w:ascii="Arial" w:hAnsi="Arial" w:cs="Arial"/>
                <w:b w:val="0"/>
              </w:rPr>
            </w:pPr>
            <w:r w:rsidRPr="00CD07B6">
              <w:rPr>
                <w:rFonts w:ascii="Arial" w:hAnsi="Arial" w:cs="Arial"/>
                <w:b w:val="0"/>
              </w:rPr>
              <w:t>Reinstatements</w:t>
            </w:r>
          </w:p>
        </w:tc>
        <w:tc>
          <w:tcPr>
            <w:tcW w:w="2310" w:type="dxa"/>
            <w:vAlign w:val="center"/>
          </w:tcPr>
          <w:p w:rsidR="00341A3C" w:rsidRDefault="00341A3C"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Male</w:t>
            </w:r>
          </w:p>
        </w:tc>
        <w:tc>
          <w:tcPr>
            <w:tcW w:w="2311" w:type="dxa"/>
            <w:vAlign w:val="center"/>
          </w:tcPr>
          <w:p w:rsidR="00341A3C" w:rsidRDefault="002857D5"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29,638</w:t>
            </w:r>
            <w:r w:rsidR="00341A3C">
              <w:rPr>
                <w:rFonts w:ascii="Arial" w:hAnsi="Arial" w:cs="Arial"/>
              </w:rPr>
              <w:t xml:space="preserve"> (</w:t>
            </w:r>
            <w:r>
              <w:rPr>
                <w:rFonts w:ascii="Arial" w:hAnsi="Arial" w:cs="Arial"/>
              </w:rPr>
              <w:t>63.06</w:t>
            </w:r>
            <w:r w:rsidR="00FF5D90">
              <w:rPr>
                <w:rFonts w:ascii="Arial" w:hAnsi="Arial" w:cs="Arial"/>
              </w:rPr>
              <w:t>%)</w:t>
            </w:r>
          </w:p>
        </w:tc>
        <w:tc>
          <w:tcPr>
            <w:tcW w:w="2311" w:type="dxa"/>
            <w:vAlign w:val="center"/>
          </w:tcPr>
          <w:p w:rsidR="00341A3C" w:rsidRDefault="00341A3C" w:rsidP="00FF5D90">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41A3C" w:rsidTr="00CD07B6">
        <w:trPr>
          <w:trHeight w:val="397"/>
        </w:trPr>
        <w:tc>
          <w:tcPr>
            <w:cnfStyle w:val="001000000000" w:firstRow="0" w:lastRow="0" w:firstColumn="1" w:lastColumn="0" w:oddVBand="0" w:evenVBand="0" w:oddHBand="0" w:evenHBand="0" w:firstRowFirstColumn="0" w:firstRowLastColumn="0" w:lastRowFirstColumn="0" w:lastRowLastColumn="0"/>
            <w:tcW w:w="2310" w:type="dxa"/>
            <w:vMerge/>
            <w:vAlign w:val="center"/>
          </w:tcPr>
          <w:p w:rsidR="00341A3C" w:rsidRDefault="00341A3C" w:rsidP="00FF5D90">
            <w:pPr>
              <w:rPr>
                <w:rFonts w:ascii="Arial" w:hAnsi="Arial" w:cs="Arial"/>
              </w:rPr>
            </w:pPr>
          </w:p>
        </w:tc>
        <w:tc>
          <w:tcPr>
            <w:tcW w:w="2310" w:type="dxa"/>
            <w:vAlign w:val="center"/>
          </w:tcPr>
          <w:p w:rsidR="00341A3C" w:rsidRDefault="00341A3C"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Female</w:t>
            </w:r>
          </w:p>
        </w:tc>
        <w:tc>
          <w:tcPr>
            <w:tcW w:w="2311" w:type="dxa"/>
            <w:vAlign w:val="center"/>
          </w:tcPr>
          <w:p w:rsidR="00341A3C" w:rsidRDefault="002857D5"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17,361</w:t>
            </w:r>
            <w:r w:rsidR="00341A3C">
              <w:rPr>
                <w:rFonts w:ascii="Arial" w:hAnsi="Arial" w:cs="Arial"/>
              </w:rPr>
              <w:t xml:space="preserve"> (</w:t>
            </w:r>
            <w:r>
              <w:rPr>
                <w:rFonts w:ascii="Arial" w:hAnsi="Arial" w:cs="Arial"/>
              </w:rPr>
              <w:t>36.94</w:t>
            </w:r>
            <w:r w:rsidR="00FF5D90">
              <w:rPr>
                <w:rFonts w:ascii="Arial" w:hAnsi="Arial" w:cs="Arial"/>
              </w:rPr>
              <w:t>%)</w:t>
            </w:r>
          </w:p>
        </w:tc>
        <w:tc>
          <w:tcPr>
            <w:tcW w:w="2311" w:type="dxa"/>
            <w:vAlign w:val="center"/>
          </w:tcPr>
          <w:p w:rsidR="00341A3C" w:rsidRDefault="00341A3C" w:rsidP="00FF5D9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C96081" w:rsidRDefault="00C96081" w:rsidP="00C96081">
      <w:pPr>
        <w:rPr>
          <w:rFonts w:ascii="Arial" w:hAnsi="Arial" w:cs="Arial"/>
          <w:b/>
          <w:sz w:val="20"/>
          <w:szCs w:val="20"/>
        </w:rPr>
      </w:pPr>
      <w:r w:rsidRPr="00A14F9F">
        <w:rPr>
          <w:rFonts w:ascii="Arial" w:hAnsi="Arial" w:cs="Arial"/>
          <w:b/>
          <w:sz w:val="20"/>
          <w:szCs w:val="20"/>
        </w:rPr>
        <w:t xml:space="preserve">Table </w:t>
      </w:r>
      <w:r>
        <w:rPr>
          <w:rFonts w:ascii="Arial" w:hAnsi="Arial" w:cs="Arial"/>
          <w:b/>
          <w:sz w:val="20"/>
          <w:szCs w:val="20"/>
        </w:rPr>
        <w:t>2</w:t>
      </w:r>
      <w:r w:rsidRPr="00A14F9F">
        <w:rPr>
          <w:rFonts w:ascii="Arial" w:hAnsi="Arial" w:cs="Arial"/>
          <w:b/>
          <w:sz w:val="20"/>
          <w:szCs w:val="20"/>
        </w:rPr>
        <w:t xml:space="preserve">: </w:t>
      </w:r>
      <w:r>
        <w:rPr>
          <w:rFonts w:ascii="Arial" w:hAnsi="Arial" w:cs="Arial"/>
          <w:b/>
          <w:sz w:val="20"/>
          <w:szCs w:val="20"/>
        </w:rPr>
        <w:t>Gender balance</w:t>
      </w:r>
      <w:r w:rsidRPr="00A14F9F">
        <w:rPr>
          <w:rFonts w:ascii="Arial" w:hAnsi="Arial" w:cs="Arial"/>
          <w:b/>
          <w:sz w:val="20"/>
          <w:szCs w:val="20"/>
        </w:rPr>
        <w:t xml:space="preserve"> of direct enrolments</w:t>
      </w:r>
    </w:p>
    <w:p w:rsidR="00A14F9F" w:rsidRDefault="00F01107" w:rsidP="008F0E33">
      <w:pPr>
        <w:rPr>
          <w:rFonts w:ascii="Arial" w:hAnsi="Arial" w:cs="Arial"/>
        </w:rPr>
      </w:pPr>
      <w:r>
        <w:rPr>
          <w:rFonts w:ascii="Arial" w:hAnsi="Arial" w:cs="Arial"/>
        </w:rPr>
        <w:lastRenderedPageBreak/>
        <w:t xml:space="preserve">While enrolment transactions as a whole were fairly evenly balanced between male and female, there was a distinct male preponderance in direct enrolments. This was particularly the case </w:t>
      </w:r>
      <w:r w:rsidR="002857D5">
        <w:rPr>
          <w:rFonts w:ascii="Arial" w:hAnsi="Arial" w:cs="Arial"/>
        </w:rPr>
        <w:t xml:space="preserve">with reinstated electors (63% male) and with </w:t>
      </w:r>
      <w:r>
        <w:rPr>
          <w:rFonts w:ascii="Arial" w:hAnsi="Arial" w:cs="Arial"/>
        </w:rPr>
        <w:t xml:space="preserve">new direct enrolments. This male lead applied across all age groups, though it was not as marked with young new electors (males comprised 52.46 per cent of new electors aged 18-19), as for new electors who were slightly older (61.83 per cent of 25-29 year olds </w:t>
      </w:r>
      <w:r w:rsidR="00791E01">
        <w:rPr>
          <w:rFonts w:ascii="Arial" w:hAnsi="Arial" w:cs="Arial"/>
        </w:rPr>
        <w:t xml:space="preserve">and 65.47 per cent of 30-34 year olds </w:t>
      </w:r>
      <w:r>
        <w:rPr>
          <w:rFonts w:ascii="Arial" w:hAnsi="Arial" w:cs="Arial"/>
        </w:rPr>
        <w:t xml:space="preserve">were male). It appears that males aged 20 and over are more reluctant than females to enrol, and are </w:t>
      </w:r>
      <w:r w:rsidR="00FA5047">
        <w:rPr>
          <w:rFonts w:ascii="Arial" w:hAnsi="Arial" w:cs="Arial"/>
        </w:rPr>
        <w:t>picked up</w:t>
      </w:r>
      <w:r>
        <w:rPr>
          <w:rFonts w:ascii="Arial" w:hAnsi="Arial" w:cs="Arial"/>
        </w:rPr>
        <w:t xml:space="preserve"> by the direct enrolment program.</w:t>
      </w:r>
    </w:p>
    <w:p w:rsidR="00791E01" w:rsidRPr="00FF5D90" w:rsidRDefault="00791E01" w:rsidP="00791E01">
      <w:pPr>
        <w:pStyle w:val="Heading3"/>
        <w:rPr>
          <w:rFonts w:ascii="Arial" w:hAnsi="Arial" w:cs="Arial"/>
          <w:color w:val="7D922E"/>
          <w:sz w:val="24"/>
          <w:szCs w:val="24"/>
        </w:rPr>
      </w:pPr>
      <w:bookmarkStart w:id="6" w:name="_Toc491857281"/>
      <w:r w:rsidRPr="00FF5D90">
        <w:rPr>
          <w:rFonts w:ascii="Arial" w:hAnsi="Arial" w:cs="Arial"/>
          <w:color w:val="7D922E"/>
          <w:sz w:val="24"/>
          <w:szCs w:val="24"/>
        </w:rPr>
        <w:t>Age groups</w:t>
      </w:r>
      <w:bookmarkEnd w:id="6"/>
    </w:p>
    <w:p w:rsidR="00791E01" w:rsidRDefault="00791E01" w:rsidP="00791E01">
      <w:pPr>
        <w:rPr>
          <w:rFonts w:ascii="Arial" w:hAnsi="Arial" w:cs="Arial"/>
        </w:rPr>
      </w:pPr>
      <w:r w:rsidRPr="00BA7472">
        <w:rPr>
          <w:rFonts w:ascii="Arial" w:hAnsi="Arial" w:cs="Arial"/>
        </w:rPr>
        <w:t xml:space="preserve">Table </w:t>
      </w:r>
      <w:r>
        <w:rPr>
          <w:rFonts w:ascii="Arial" w:hAnsi="Arial" w:cs="Arial"/>
        </w:rPr>
        <w:t>3</w:t>
      </w:r>
      <w:r w:rsidRPr="00BA7472">
        <w:rPr>
          <w:rFonts w:ascii="Arial" w:hAnsi="Arial" w:cs="Arial"/>
        </w:rPr>
        <w:t xml:space="preserve"> shows </w:t>
      </w:r>
      <w:r>
        <w:rPr>
          <w:rFonts w:ascii="Arial" w:hAnsi="Arial" w:cs="Arial"/>
        </w:rPr>
        <w:t>the age breakdown of directly enrolled electors, compared with enrolment transactions as a whole.</w:t>
      </w:r>
    </w:p>
    <w:tbl>
      <w:tblPr>
        <w:tblStyle w:val="LightList-Accent3"/>
        <w:tblW w:w="0" w:type="auto"/>
        <w:tblLook w:val="04A0" w:firstRow="1" w:lastRow="0" w:firstColumn="1" w:lastColumn="0" w:noHBand="0" w:noVBand="1"/>
        <w:tblCaption w:val="Table 3: age breakdown of direct enrolments"/>
      </w:tblPr>
      <w:tblGrid>
        <w:gridCol w:w="841"/>
        <w:gridCol w:w="1486"/>
        <w:gridCol w:w="1732"/>
        <w:gridCol w:w="1566"/>
        <w:gridCol w:w="1762"/>
        <w:gridCol w:w="1855"/>
      </w:tblGrid>
      <w:tr w:rsidR="002857D5" w:rsidRPr="00791E01" w:rsidTr="00CD07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vMerge w:val="restart"/>
            <w:vAlign w:val="center"/>
          </w:tcPr>
          <w:p w:rsidR="002857D5" w:rsidRPr="00CD07B6" w:rsidRDefault="002857D5" w:rsidP="00CD07B6">
            <w:pPr>
              <w:jc w:val="center"/>
              <w:rPr>
                <w:rFonts w:ascii="Arial" w:hAnsi="Arial" w:cs="Arial"/>
              </w:rPr>
            </w:pPr>
            <w:r w:rsidRPr="00CD07B6">
              <w:rPr>
                <w:rFonts w:ascii="Arial" w:hAnsi="Arial" w:cs="Arial"/>
              </w:rPr>
              <w:t>Age group</w:t>
            </w:r>
          </w:p>
        </w:tc>
        <w:tc>
          <w:tcPr>
            <w:tcW w:w="3436" w:type="dxa"/>
            <w:gridSpan w:val="2"/>
            <w:vAlign w:val="center"/>
          </w:tcPr>
          <w:p w:rsidR="002857D5" w:rsidRPr="00CD07B6" w:rsidRDefault="002857D5" w:rsidP="00CD07B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D07B6">
              <w:rPr>
                <w:rFonts w:ascii="Arial" w:hAnsi="Arial" w:cs="Arial"/>
              </w:rPr>
              <w:t>New enrolments</w:t>
            </w:r>
          </w:p>
        </w:tc>
        <w:tc>
          <w:tcPr>
            <w:tcW w:w="3572" w:type="dxa"/>
            <w:gridSpan w:val="2"/>
            <w:vAlign w:val="center"/>
          </w:tcPr>
          <w:p w:rsidR="002857D5" w:rsidRPr="00CD07B6" w:rsidRDefault="002857D5" w:rsidP="00CD07B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D07B6">
              <w:rPr>
                <w:rFonts w:ascii="Arial" w:hAnsi="Arial" w:cs="Arial"/>
              </w:rPr>
              <w:t>Address changes</w:t>
            </w:r>
          </w:p>
        </w:tc>
        <w:tc>
          <w:tcPr>
            <w:tcW w:w="1394" w:type="dxa"/>
            <w:vMerge w:val="restart"/>
            <w:vAlign w:val="center"/>
          </w:tcPr>
          <w:p w:rsidR="002857D5" w:rsidRPr="00CD07B6" w:rsidRDefault="002857D5" w:rsidP="00CD07B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CD07B6">
              <w:rPr>
                <w:rFonts w:ascii="Arial" w:hAnsi="Arial" w:cs="Arial"/>
              </w:rPr>
              <w:t>Reinstatements</w:t>
            </w:r>
          </w:p>
        </w:tc>
      </w:tr>
      <w:tr w:rsidR="002857D5" w:rsidTr="00E2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vMerge/>
            <w:vAlign w:val="center"/>
          </w:tcPr>
          <w:p w:rsidR="002857D5" w:rsidRDefault="002857D5" w:rsidP="00CD07B6">
            <w:pPr>
              <w:rPr>
                <w:rFonts w:ascii="Arial" w:hAnsi="Arial" w:cs="Arial"/>
              </w:rPr>
            </w:pPr>
          </w:p>
        </w:tc>
        <w:tc>
          <w:tcPr>
            <w:tcW w:w="1602" w:type="dxa"/>
            <w:shd w:val="clear" w:color="auto" w:fill="C1D58F"/>
            <w:vAlign w:val="center"/>
          </w:tcPr>
          <w:p w:rsidR="002857D5" w:rsidRPr="00CD07B6"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D07B6">
              <w:rPr>
                <w:rFonts w:ascii="Arial" w:hAnsi="Arial" w:cs="Arial"/>
              </w:rPr>
              <w:t>Directly enrolled</w:t>
            </w:r>
          </w:p>
        </w:tc>
        <w:tc>
          <w:tcPr>
            <w:tcW w:w="1834" w:type="dxa"/>
            <w:shd w:val="clear" w:color="auto" w:fill="C1D58F"/>
            <w:vAlign w:val="center"/>
          </w:tcPr>
          <w:p w:rsidR="002857D5" w:rsidRPr="00CD07B6"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D07B6">
              <w:rPr>
                <w:rFonts w:ascii="Arial" w:hAnsi="Arial" w:cs="Arial"/>
              </w:rPr>
              <w:t>Total enrolments</w:t>
            </w:r>
          </w:p>
        </w:tc>
        <w:tc>
          <w:tcPr>
            <w:tcW w:w="1701" w:type="dxa"/>
            <w:shd w:val="clear" w:color="auto" w:fill="C1D58F"/>
            <w:vAlign w:val="center"/>
          </w:tcPr>
          <w:p w:rsidR="002857D5" w:rsidRPr="00CD07B6"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D07B6">
              <w:rPr>
                <w:rFonts w:ascii="Arial" w:hAnsi="Arial" w:cs="Arial"/>
              </w:rPr>
              <w:t>Directly enrolled</w:t>
            </w:r>
          </w:p>
        </w:tc>
        <w:tc>
          <w:tcPr>
            <w:tcW w:w="1871" w:type="dxa"/>
            <w:shd w:val="clear" w:color="auto" w:fill="C1D58F"/>
            <w:vAlign w:val="center"/>
          </w:tcPr>
          <w:p w:rsidR="002857D5" w:rsidRPr="00CD07B6"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D07B6">
              <w:rPr>
                <w:rFonts w:ascii="Arial" w:hAnsi="Arial" w:cs="Arial"/>
              </w:rPr>
              <w:t>Total enrolments</w:t>
            </w:r>
          </w:p>
        </w:tc>
        <w:tc>
          <w:tcPr>
            <w:tcW w:w="1394" w:type="dxa"/>
            <w:vMerge/>
            <w:vAlign w:val="center"/>
          </w:tcPr>
          <w:p w:rsidR="002857D5" w:rsidRPr="00305A9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857D5" w:rsidTr="00CD07B6">
        <w:trPr>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18-19</w:t>
            </w:r>
          </w:p>
        </w:tc>
        <w:tc>
          <w:tcPr>
            <w:tcW w:w="1602"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45.82%</w:t>
            </w:r>
          </w:p>
        </w:tc>
        <w:tc>
          <w:tcPr>
            <w:tcW w:w="183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44.88%</w:t>
            </w:r>
          </w:p>
        </w:tc>
        <w:tc>
          <w:tcPr>
            <w:tcW w:w="170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2.06%</w:t>
            </w:r>
          </w:p>
        </w:tc>
        <w:tc>
          <w:tcPr>
            <w:tcW w:w="187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2.12%</w:t>
            </w:r>
          </w:p>
        </w:tc>
        <w:tc>
          <w:tcPr>
            <w:tcW w:w="139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0.08%</w:t>
            </w:r>
          </w:p>
        </w:tc>
      </w:tr>
      <w:tr w:rsidR="002857D5" w:rsidTr="00CD07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20-24</w:t>
            </w:r>
          </w:p>
        </w:tc>
        <w:tc>
          <w:tcPr>
            <w:tcW w:w="1602"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22.87%</w:t>
            </w:r>
          </w:p>
        </w:tc>
        <w:tc>
          <w:tcPr>
            <w:tcW w:w="183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12.56%</w:t>
            </w:r>
          </w:p>
        </w:tc>
        <w:tc>
          <w:tcPr>
            <w:tcW w:w="170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15.3%</w:t>
            </w:r>
          </w:p>
        </w:tc>
        <w:tc>
          <w:tcPr>
            <w:tcW w:w="187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13.23%</w:t>
            </w:r>
          </w:p>
        </w:tc>
        <w:tc>
          <w:tcPr>
            <w:tcW w:w="139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5.64%</w:t>
            </w:r>
          </w:p>
        </w:tc>
      </w:tr>
      <w:tr w:rsidR="002857D5" w:rsidTr="00CD07B6">
        <w:trPr>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25-29</w:t>
            </w:r>
          </w:p>
        </w:tc>
        <w:tc>
          <w:tcPr>
            <w:tcW w:w="1602"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13.22%</w:t>
            </w:r>
          </w:p>
        </w:tc>
        <w:tc>
          <w:tcPr>
            <w:tcW w:w="183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11.21%</w:t>
            </w:r>
          </w:p>
        </w:tc>
        <w:tc>
          <w:tcPr>
            <w:tcW w:w="170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18.75%</w:t>
            </w:r>
          </w:p>
        </w:tc>
        <w:tc>
          <w:tcPr>
            <w:tcW w:w="187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17.32%</w:t>
            </w:r>
          </w:p>
        </w:tc>
        <w:tc>
          <w:tcPr>
            <w:tcW w:w="139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14.22%</w:t>
            </w:r>
          </w:p>
        </w:tc>
      </w:tr>
      <w:tr w:rsidR="002857D5" w:rsidTr="00CD07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30-34</w:t>
            </w:r>
          </w:p>
        </w:tc>
        <w:tc>
          <w:tcPr>
            <w:tcW w:w="1602"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w:t>
            </w:r>
          </w:p>
        </w:tc>
        <w:tc>
          <w:tcPr>
            <w:tcW w:w="183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10.44%</w:t>
            </w:r>
          </w:p>
        </w:tc>
        <w:tc>
          <w:tcPr>
            <w:tcW w:w="170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15.81%</w:t>
            </w:r>
          </w:p>
        </w:tc>
        <w:tc>
          <w:tcPr>
            <w:tcW w:w="187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15.26%</w:t>
            </w:r>
          </w:p>
        </w:tc>
        <w:tc>
          <w:tcPr>
            <w:tcW w:w="139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18.02%</w:t>
            </w:r>
          </w:p>
        </w:tc>
      </w:tr>
      <w:tr w:rsidR="002857D5" w:rsidTr="00CD07B6">
        <w:trPr>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35-39</w:t>
            </w:r>
          </w:p>
        </w:tc>
        <w:tc>
          <w:tcPr>
            <w:tcW w:w="1602"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4.63%</w:t>
            </w:r>
          </w:p>
        </w:tc>
        <w:tc>
          <w:tcPr>
            <w:tcW w:w="183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6.62%</w:t>
            </w:r>
          </w:p>
        </w:tc>
        <w:tc>
          <w:tcPr>
            <w:tcW w:w="170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12.05%</w:t>
            </w:r>
          </w:p>
        </w:tc>
        <w:tc>
          <w:tcPr>
            <w:tcW w:w="187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11.57%</w:t>
            </w:r>
          </w:p>
        </w:tc>
        <w:tc>
          <w:tcPr>
            <w:tcW w:w="139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17.15%</w:t>
            </w:r>
          </w:p>
        </w:tc>
      </w:tr>
      <w:tr w:rsidR="002857D5" w:rsidTr="00CD07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40-44</w:t>
            </w:r>
          </w:p>
        </w:tc>
        <w:tc>
          <w:tcPr>
            <w:tcW w:w="1602"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1.99%</w:t>
            </w:r>
          </w:p>
        </w:tc>
        <w:tc>
          <w:tcPr>
            <w:tcW w:w="183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4.35%</w:t>
            </w:r>
          </w:p>
        </w:tc>
        <w:tc>
          <w:tcPr>
            <w:tcW w:w="170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10.21%</w:t>
            </w:r>
          </w:p>
        </w:tc>
        <w:tc>
          <w:tcPr>
            <w:tcW w:w="187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9.74%</w:t>
            </w:r>
          </w:p>
        </w:tc>
        <w:tc>
          <w:tcPr>
            <w:tcW w:w="139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16.11%</w:t>
            </w:r>
          </w:p>
        </w:tc>
      </w:tr>
      <w:tr w:rsidR="002857D5" w:rsidTr="00CD07B6">
        <w:trPr>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45-49</w:t>
            </w:r>
          </w:p>
        </w:tc>
        <w:tc>
          <w:tcPr>
            <w:tcW w:w="1602"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w:t>
            </w:r>
          </w:p>
        </w:tc>
        <w:tc>
          <w:tcPr>
            <w:tcW w:w="183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2.99%</w:t>
            </w:r>
          </w:p>
        </w:tc>
        <w:tc>
          <w:tcPr>
            <w:tcW w:w="170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7.49%</w:t>
            </w:r>
          </w:p>
        </w:tc>
        <w:tc>
          <w:tcPr>
            <w:tcW w:w="187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7.31%</w:t>
            </w:r>
          </w:p>
        </w:tc>
        <w:tc>
          <w:tcPr>
            <w:tcW w:w="139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10.7%</w:t>
            </w:r>
          </w:p>
        </w:tc>
      </w:tr>
      <w:tr w:rsidR="002857D5" w:rsidTr="00CD07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50-54</w:t>
            </w:r>
          </w:p>
        </w:tc>
        <w:tc>
          <w:tcPr>
            <w:tcW w:w="1602"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0.76%</w:t>
            </w:r>
          </w:p>
        </w:tc>
        <w:tc>
          <w:tcPr>
            <w:tcW w:w="183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2.13%</w:t>
            </w:r>
          </w:p>
        </w:tc>
        <w:tc>
          <w:tcPr>
            <w:tcW w:w="170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5.97%</w:t>
            </w:r>
          </w:p>
        </w:tc>
        <w:tc>
          <w:tcPr>
            <w:tcW w:w="187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6.18%</w:t>
            </w:r>
          </w:p>
        </w:tc>
        <w:tc>
          <w:tcPr>
            <w:tcW w:w="139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7.62%</w:t>
            </w:r>
          </w:p>
        </w:tc>
      </w:tr>
      <w:tr w:rsidR="002857D5" w:rsidTr="00CD07B6">
        <w:trPr>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55-59</w:t>
            </w:r>
          </w:p>
        </w:tc>
        <w:tc>
          <w:tcPr>
            <w:tcW w:w="1602"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0.61%</w:t>
            </w:r>
          </w:p>
        </w:tc>
        <w:tc>
          <w:tcPr>
            <w:tcW w:w="183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1.46%</w:t>
            </w:r>
          </w:p>
        </w:tc>
        <w:tc>
          <w:tcPr>
            <w:tcW w:w="170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4.51%</w:t>
            </w:r>
          </w:p>
        </w:tc>
        <w:tc>
          <w:tcPr>
            <w:tcW w:w="187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5.05%</w:t>
            </w:r>
          </w:p>
        </w:tc>
        <w:tc>
          <w:tcPr>
            <w:tcW w:w="139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4.93%</w:t>
            </w:r>
          </w:p>
        </w:tc>
      </w:tr>
      <w:tr w:rsidR="002857D5" w:rsidTr="00CD07B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60-64</w:t>
            </w:r>
          </w:p>
        </w:tc>
        <w:tc>
          <w:tcPr>
            <w:tcW w:w="1602"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0.46%</w:t>
            </w:r>
          </w:p>
        </w:tc>
        <w:tc>
          <w:tcPr>
            <w:tcW w:w="183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1.26%</w:t>
            </w:r>
          </w:p>
        </w:tc>
        <w:tc>
          <w:tcPr>
            <w:tcW w:w="170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3.34%</w:t>
            </w:r>
          </w:p>
        </w:tc>
        <w:tc>
          <w:tcPr>
            <w:tcW w:w="1871"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4.13%</w:t>
            </w:r>
          </w:p>
        </w:tc>
        <w:tc>
          <w:tcPr>
            <w:tcW w:w="1394" w:type="dxa"/>
            <w:vAlign w:val="center"/>
          </w:tcPr>
          <w:p w:rsidR="002857D5" w:rsidRDefault="002857D5"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2.81%</w:t>
            </w:r>
          </w:p>
        </w:tc>
      </w:tr>
      <w:tr w:rsidR="002857D5" w:rsidTr="00CD07B6">
        <w:trPr>
          <w:trHeight w:val="397"/>
        </w:trPr>
        <w:tc>
          <w:tcPr>
            <w:cnfStyle w:val="001000000000" w:firstRow="0" w:lastRow="0" w:firstColumn="1" w:lastColumn="0" w:oddVBand="0" w:evenVBand="0" w:oddHBand="0" w:evenHBand="0" w:firstRowFirstColumn="0" w:firstRowLastColumn="0" w:lastRowFirstColumn="0" w:lastRowLastColumn="0"/>
            <w:tcW w:w="840" w:type="dxa"/>
            <w:vAlign w:val="center"/>
          </w:tcPr>
          <w:p w:rsidR="002857D5" w:rsidRPr="00CD07B6" w:rsidRDefault="00CD07B6" w:rsidP="00CD07B6">
            <w:pPr>
              <w:rPr>
                <w:rFonts w:ascii="Arial" w:hAnsi="Arial" w:cs="Arial"/>
                <w:b w:val="0"/>
              </w:rPr>
            </w:pPr>
            <w:r w:rsidRPr="00CD07B6">
              <w:rPr>
                <w:rFonts w:ascii="Arial" w:hAnsi="Arial" w:cs="Arial"/>
                <w:b w:val="0"/>
              </w:rPr>
              <w:t>65+</w:t>
            </w:r>
          </w:p>
        </w:tc>
        <w:tc>
          <w:tcPr>
            <w:tcW w:w="1602"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0.64%</w:t>
            </w:r>
          </w:p>
        </w:tc>
        <w:tc>
          <w:tcPr>
            <w:tcW w:w="183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2.11%</w:t>
            </w:r>
          </w:p>
        </w:tc>
        <w:tc>
          <w:tcPr>
            <w:tcW w:w="170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w:t>
            </w:r>
          </w:p>
        </w:tc>
        <w:tc>
          <w:tcPr>
            <w:tcW w:w="1871"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8.11%</w:t>
            </w:r>
          </w:p>
        </w:tc>
        <w:tc>
          <w:tcPr>
            <w:tcW w:w="1394" w:type="dxa"/>
            <w:vAlign w:val="center"/>
          </w:tcPr>
          <w:p w:rsidR="002857D5" w:rsidRDefault="002857D5"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2.72%</w:t>
            </w:r>
          </w:p>
        </w:tc>
      </w:tr>
    </w:tbl>
    <w:p w:rsidR="00286991" w:rsidRDefault="00286991" w:rsidP="00286991">
      <w:pPr>
        <w:rPr>
          <w:rFonts w:ascii="Arial" w:hAnsi="Arial" w:cs="Arial"/>
          <w:b/>
          <w:sz w:val="20"/>
          <w:szCs w:val="20"/>
        </w:rPr>
      </w:pPr>
      <w:r w:rsidRPr="00A14F9F">
        <w:rPr>
          <w:rFonts w:ascii="Arial" w:hAnsi="Arial" w:cs="Arial"/>
          <w:b/>
          <w:sz w:val="20"/>
          <w:szCs w:val="20"/>
        </w:rPr>
        <w:t xml:space="preserve">Table </w:t>
      </w:r>
      <w:r>
        <w:rPr>
          <w:rFonts w:ascii="Arial" w:hAnsi="Arial" w:cs="Arial"/>
          <w:b/>
          <w:sz w:val="20"/>
          <w:szCs w:val="20"/>
        </w:rPr>
        <w:t>3</w:t>
      </w:r>
      <w:r w:rsidRPr="00A14F9F">
        <w:rPr>
          <w:rFonts w:ascii="Arial" w:hAnsi="Arial" w:cs="Arial"/>
          <w:b/>
          <w:sz w:val="20"/>
          <w:szCs w:val="20"/>
        </w:rPr>
        <w:t xml:space="preserve">: </w:t>
      </w:r>
      <w:r>
        <w:rPr>
          <w:rFonts w:ascii="Arial" w:hAnsi="Arial" w:cs="Arial"/>
          <w:b/>
          <w:sz w:val="20"/>
          <w:szCs w:val="20"/>
        </w:rPr>
        <w:t>Age breakdown</w:t>
      </w:r>
      <w:r w:rsidRPr="00A14F9F">
        <w:rPr>
          <w:rFonts w:ascii="Arial" w:hAnsi="Arial" w:cs="Arial"/>
          <w:b/>
          <w:sz w:val="20"/>
          <w:szCs w:val="20"/>
        </w:rPr>
        <w:t xml:space="preserve"> of direct enrolments</w:t>
      </w:r>
    </w:p>
    <w:p w:rsidR="00F01107" w:rsidRDefault="00BA6F9B" w:rsidP="008F0E33">
      <w:pPr>
        <w:rPr>
          <w:rFonts w:ascii="Arial" w:hAnsi="Arial" w:cs="Arial"/>
        </w:rPr>
      </w:pPr>
      <w:r>
        <w:rPr>
          <w:rFonts w:ascii="Arial" w:hAnsi="Arial" w:cs="Arial"/>
        </w:rPr>
        <w:t xml:space="preserve">The age distribution of directly enrolled electors and all enrolment transactions is broadly comparable. In both groups, most new electors were young. More than 57% of total new enrolments were younger than 25. The pattern is stronger with directly enrolled electors, with 22.87 per cent of directly enrolled new electors aged 20-24, compared to 12.56 per cent of all new electors. The sources of the VEC’s direct enrolment program contribute to this weighting: the VEC uses </w:t>
      </w:r>
      <w:r w:rsidR="005327EE">
        <w:rPr>
          <w:rFonts w:ascii="Arial" w:hAnsi="Arial" w:cs="Arial"/>
        </w:rPr>
        <w:t xml:space="preserve">VicRoads and VCAA data to capture new licence holders and </w:t>
      </w:r>
      <w:r w:rsidR="00FA5047">
        <w:rPr>
          <w:rFonts w:ascii="Arial" w:hAnsi="Arial" w:cs="Arial"/>
        </w:rPr>
        <w:t>Year 11 and 12</w:t>
      </w:r>
      <w:r w:rsidR="005327EE">
        <w:rPr>
          <w:rFonts w:ascii="Arial" w:hAnsi="Arial" w:cs="Arial"/>
        </w:rPr>
        <w:t xml:space="preserve"> students as soon as they become eligible to enrol. Conversely, directly enrolled new electors are under-represented in older age groups (30 and over) compared to new electors as a whole.</w:t>
      </w:r>
    </w:p>
    <w:p w:rsidR="005327EE" w:rsidRDefault="005327EE" w:rsidP="008F0E33">
      <w:pPr>
        <w:rPr>
          <w:rFonts w:ascii="Arial" w:hAnsi="Arial" w:cs="Arial"/>
        </w:rPr>
      </w:pPr>
      <w:r>
        <w:rPr>
          <w:rFonts w:ascii="Arial" w:hAnsi="Arial" w:cs="Arial"/>
        </w:rPr>
        <w:t xml:space="preserve">Turning to address changes, there is relatively little difference between those directly enrolled and enrolment </w:t>
      </w:r>
      <w:r w:rsidR="00B543C4">
        <w:rPr>
          <w:rFonts w:ascii="Arial" w:hAnsi="Arial" w:cs="Arial"/>
        </w:rPr>
        <w:t xml:space="preserve">transactions in general. All age groups above 20 are well represented, with a bulge </w:t>
      </w:r>
      <w:r w:rsidR="006E60F3">
        <w:rPr>
          <w:rFonts w:ascii="Arial" w:hAnsi="Arial" w:cs="Arial"/>
        </w:rPr>
        <w:t xml:space="preserve">of electors in their 20s and 30s. Electors aged 20-39 make up 61.91 per cent of all directly enrolled address updates, while the corresponding figure for all enrolment transactions is 57.38 per cent. In contrast, the proportions of older age groups </w:t>
      </w:r>
      <w:r w:rsidR="006E60F3">
        <w:rPr>
          <w:rFonts w:ascii="Arial" w:hAnsi="Arial" w:cs="Arial"/>
        </w:rPr>
        <w:lastRenderedPageBreak/>
        <w:t>whose addresses were directly updated are lower than for address updates as a whole. Older electors tend to be less mobile than younger ones, and so less likely to be captured in the VicRoads database.</w:t>
      </w:r>
    </w:p>
    <w:p w:rsidR="00466F20" w:rsidRDefault="00466F20" w:rsidP="008F0E33">
      <w:pPr>
        <w:rPr>
          <w:rFonts w:ascii="Arial" w:hAnsi="Arial" w:cs="Arial"/>
        </w:rPr>
      </w:pPr>
      <w:r>
        <w:rPr>
          <w:rFonts w:ascii="Arial" w:hAnsi="Arial" w:cs="Arial"/>
        </w:rPr>
        <w:t xml:space="preserve">Reinstated electors have a somewhat older age profile. Few are younger than 25 – understandably, because they would not have had time to enrol, be taken off the roll, and then be reinstated. Some two thirds of them are aged between 25 and 44 (compared to 54% of total enrolment updates). </w:t>
      </w:r>
    </w:p>
    <w:p w:rsidR="0040694F" w:rsidRPr="00FF5D90" w:rsidRDefault="0040694F" w:rsidP="0040694F">
      <w:pPr>
        <w:pStyle w:val="Heading3"/>
        <w:rPr>
          <w:rFonts w:ascii="Arial" w:hAnsi="Arial" w:cs="Arial"/>
          <w:color w:val="7D922E"/>
          <w:sz w:val="24"/>
          <w:szCs w:val="24"/>
        </w:rPr>
      </w:pPr>
      <w:bookmarkStart w:id="7" w:name="_Toc491857282"/>
      <w:r w:rsidRPr="00FF5D90">
        <w:rPr>
          <w:rFonts w:ascii="Arial" w:hAnsi="Arial" w:cs="Arial"/>
          <w:color w:val="7D922E"/>
          <w:sz w:val="24"/>
          <w:szCs w:val="24"/>
        </w:rPr>
        <w:t>Geographic distribution</w:t>
      </w:r>
      <w:bookmarkEnd w:id="7"/>
    </w:p>
    <w:p w:rsidR="006E60F3" w:rsidRDefault="003D58BE" w:rsidP="008F0E33">
      <w:pPr>
        <w:rPr>
          <w:rFonts w:ascii="Arial" w:hAnsi="Arial" w:cs="Arial"/>
        </w:rPr>
      </w:pPr>
      <w:r>
        <w:rPr>
          <w:rFonts w:ascii="Arial" w:hAnsi="Arial" w:cs="Arial"/>
        </w:rPr>
        <w:t xml:space="preserve">Table 4 shows enrolment transactions by </w:t>
      </w:r>
      <w:r w:rsidR="00FD37FC">
        <w:rPr>
          <w:rFonts w:ascii="Arial" w:hAnsi="Arial" w:cs="Arial"/>
        </w:rPr>
        <w:t>electoral district, in terms of each district</w:t>
      </w:r>
      <w:r w:rsidR="00D5363B">
        <w:rPr>
          <w:rFonts w:ascii="Arial" w:hAnsi="Arial" w:cs="Arial"/>
        </w:rPr>
        <w:t>’</w:t>
      </w:r>
      <w:r w:rsidR="00FD37FC">
        <w:rPr>
          <w:rFonts w:ascii="Arial" w:hAnsi="Arial" w:cs="Arial"/>
        </w:rPr>
        <w:t xml:space="preserve">s deviation from the State district average. Districts that deviate by more than 30 per cent are </w:t>
      </w:r>
      <w:r w:rsidR="002006F4">
        <w:rPr>
          <w:rFonts w:ascii="Arial" w:hAnsi="Arial" w:cs="Arial"/>
        </w:rPr>
        <w:t xml:space="preserve">highlighted (in </w:t>
      </w:r>
      <w:r w:rsidR="000F4FA4">
        <w:rPr>
          <w:rFonts w:ascii="Arial" w:hAnsi="Arial" w:cs="Arial"/>
        </w:rPr>
        <w:t>orange</w:t>
      </w:r>
      <w:r w:rsidR="002006F4">
        <w:rPr>
          <w:rFonts w:ascii="Arial" w:hAnsi="Arial" w:cs="Arial"/>
        </w:rPr>
        <w:t xml:space="preserve"> for those above the average and </w:t>
      </w:r>
      <w:r w:rsidR="000F4FA4">
        <w:rPr>
          <w:rFonts w:ascii="Arial" w:hAnsi="Arial" w:cs="Arial"/>
        </w:rPr>
        <w:t>green</w:t>
      </w:r>
      <w:r w:rsidR="002006F4">
        <w:rPr>
          <w:rFonts w:ascii="Arial" w:hAnsi="Arial" w:cs="Arial"/>
        </w:rPr>
        <w:t xml:space="preserve"> for those below the average)</w:t>
      </w:r>
      <w:r w:rsidR="00FD37FC">
        <w:rPr>
          <w:rFonts w:ascii="Arial" w:hAnsi="Arial" w:cs="Arial"/>
        </w:rPr>
        <w:t>.</w:t>
      </w:r>
    </w:p>
    <w:tbl>
      <w:tblPr>
        <w:tblStyle w:val="LightList-Accent3"/>
        <w:tblW w:w="0" w:type="auto"/>
        <w:tblLook w:val="04A0" w:firstRow="1" w:lastRow="0" w:firstColumn="1" w:lastColumn="0" w:noHBand="0" w:noVBand="1"/>
        <w:tblCaption w:val="Table 4.1: geographic distribution of direct enrolments"/>
      </w:tblPr>
      <w:tblGrid>
        <w:gridCol w:w="1879"/>
        <w:gridCol w:w="1292"/>
        <w:gridCol w:w="1518"/>
        <w:gridCol w:w="1201"/>
        <w:gridCol w:w="1497"/>
        <w:gridCol w:w="1855"/>
      </w:tblGrid>
      <w:tr w:rsidR="00AE3E4A" w:rsidRPr="00791E01" w:rsidTr="00EF7208">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879" w:type="dxa"/>
            <w:vMerge w:val="restart"/>
            <w:vAlign w:val="center"/>
          </w:tcPr>
          <w:p w:rsidR="00AE3E4A" w:rsidRPr="00E22FE9" w:rsidRDefault="00AE3E4A" w:rsidP="00E22FE9">
            <w:pPr>
              <w:jc w:val="center"/>
              <w:rPr>
                <w:rFonts w:ascii="Arial" w:hAnsi="Arial" w:cs="Arial"/>
              </w:rPr>
            </w:pPr>
            <w:r w:rsidRPr="00E22FE9">
              <w:rPr>
                <w:rFonts w:ascii="Arial" w:hAnsi="Arial" w:cs="Arial"/>
              </w:rPr>
              <w:t>District</w:t>
            </w:r>
          </w:p>
        </w:tc>
        <w:tc>
          <w:tcPr>
            <w:tcW w:w="2810" w:type="dxa"/>
            <w:gridSpan w:val="2"/>
            <w:vAlign w:val="center"/>
          </w:tcPr>
          <w:p w:rsidR="00AE3E4A" w:rsidRPr="00E22FE9" w:rsidRDefault="00AE3E4A" w:rsidP="00E22FE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New enrolments</w:t>
            </w:r>
          </w:p>
        </w:tc>
        <w:tc>
          <w:tcPr>
            <w:tcW w:w="2698" w:type="dxa"/>
            <w:gridSpan w:val="2"/>
            <w:vAlign w:val="center"/>
          </w:tcPr>
          <w:p w:rsidR="00AE3E4A" w:rsidRPr="00E22FE9" w:rsidRDefault="00AE3E4A" w:rsidP="00E22FE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Address changes</w:t>
            </w:r>
          </w:p>
        </w:tc>
        <w:tc>
          <w:tcPr>
            <w:tcW w:w="1855" w:type="dxa"/>
            <w:vMerge w:val="restart"/>
            <w:vAlign w:val="center"/>
          </w:tcPr>
          <w:p w:rsidR="00AE3E4A" w:rsidRPr="00E22FE9" w:rsidRDefault="00AE3E4A" w:rsidP="00E22FE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Reinstatements</w:t>
            </w:r>
          </w:p>
        </w:tc>
      </w:tr>
      <w:tr w:rsidR="00AE3E4A" w:rsidTr="00EF72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9" w:type="dxa"/>
            <w:vMerge/>
          </w:tcPr>
          <w:p w:rsidR="00AE3E4A" w:rsidRDefault="00AE3E4A" w:rsidP="0094457A">
            <w:pPr>
              <w:rPr>
                <w:rFonts w:ascii="Arial" w:hAnsi="Arial" w:cs="Arial"/>
              </w:rPr>
            </w:pPr>
          </w:p>
        </w:tc>
        <w:tc>
          <w:tcPr>
            <w:tcW w:w="1292" w:type="dxa"/>
            <w:shd w:val="clear" w:color="auto" w:fill="C1D58F"/>
          </w:tcPr>
          <w:p w:rsidR="00AE3E4A" w:rsidRPr="00E22FE9" w:rsidRDefault="00AE3E4A" w:rsidP="0094457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Directly enrolled</w:t>
            </w:r>
          </w:p>
        </w:tc>
        <w:tc>
          <w:tcPr>
            <w:tcW w:w="1518" w:type="dxa"/>
            <w:shd w:val="clear" w:color="auto" w:fill="C1D58F"/>
          </w:tcPr>
          <w:p w:rsidR="00AE3E4A" w:rsidRPr="00E22FE9" w:rsidRDefault="00AE3E4A" w:rsidP="0094457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Total enrolments</w:t>
            </w:r>
          </w:p>
        </w:tc>
        <w:tc>
          <w:tcPr>
            <w:tcW w:w="1201" w:type="dxa"/>
            <w:shd w:val="clear" w:color="auto" w:fill="C1D58F"/>
          </w:tcPr>
          <w:p w:rsidR="00AE3E4A" w:rsidRPr="00E22FE9" w:rsidRDefault="00AE3E4A" w:rsidP="0094457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Directly enrolled</w:t>
            </w:r>
          </w:p>
        </w:tc>
        <w:tc>
          <w:tcPr>
            <w:tcW w:w="1497" w:type="dxa"/>
            <w:shd w:val="clear" w:color="auto" w:fill="C1D58F"/>
          </w:tcPr>
          <w:p w:rsidR="00AE3E4A" w:rsidRPr="00E22FE9" w:rsidRDefault="00AE3E4A" w:rsidP="0094457A">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Total enrolments</w:t>
            </w:r>
          </w:p>
        </w:tc>
        <w:tc>
          <w:tcPr>
            <w:tcW w:w="1855" w:type="dxa"/>
            <w:vMerge/>
          </w:tcPr>
          <w:p w:rsidR="00AE3E4A" w:rsidRPr="00305A95" w:rsidRDefault="00AE3E4A" w:rsidP="0094457A">
            <w:pP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Albert Park</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.782</w:t>
            </w:r>
          </w:p>
        </w:tc>
        <w:tc>
          <w:tcPr>
            <w:tcW w:w="1518"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1.544</w:t>
            </w:r>
          </w:p>
        </w:tc>
        <w:tc>
          <w:tcPr>
            <w:tcW w:w="1201"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1.473</w:t>
            </w:r>
          </w:p>
        </w:tc>
        <w:tc>
          <w:tcPr>
            <w:tcW w:w="1497"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1.586</w:t>
            </w:r>
          </w:p>
        </w:tc>
        <w:tc>
          <w:tcPr>
            <w:tcW w:w="1855"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1.648</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Altona</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1.235</w:t>
            </w:r>
          </w:p>
        </w:tc>
        <w:tc>
          <w:tcPr>
            <w:tcW w:w="1518" w:type="dxa"/>
            <w:shd w:val="clear" w:color="auto" w:fill="FBD4B4" w:themeFill="accent6" w:themeFillTint="66"/>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1.574</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1.165</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1.204</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Bass</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1.292</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.884</w:t>
            </w:r>
          </w:p>
        </w:tc>
        <w:tc>
          <w:tcPr>
            <w:tcW w:w="1201"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1.472</w:t>
            </w:r>
          </w:p>
        </w:tc>
        <w:tc>
          <w:tcPr>
            <w:tcW w:w="1497"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1.415</w:t>
            </w:r>
          </w:p>
        </w:tc>
        <w:tc>
          <w:tcPr>
            <w:tcW w:w="1855"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1.597</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Bayswater</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.763</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.898</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.907</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.951</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Bellarine</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.819</w:t>
            </w:r>
          </w:p>
        </w:tc>
        <w:tc>
          <w:tcPr>
            <w:tcW w:w="1518" w:type="dxa"/>
            <w:shd w:val="clear" w:color="auto" w:fill="D6E3BC" w:themeFill="accent3"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.683</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1.114</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1.178</w:t>
            </w:r>
          </w:p>
        </w:tc>
        <w:tc>
          <w:tcPr>
            <w:tcW w:w="1855"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1.035</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Benambra</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1.292</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1.014</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1.024</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1.144</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Bendigo East</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.797</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.846</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1.217</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1.261</w:t>
            </w:r>
          </w:p>
        </w:tc>
        <w:tc>
          <w:tcPr>
            <w:tcW w:w="1855"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1.052</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Bendigo West</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.866</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.752</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1.082</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1.094</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1.129</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Bentleigh</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.706</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.857</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.759</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.786</w:t>
            </w:r>
          </w:p>
        </w:tc>
        <w:tc>
          <w:tcPr>
            <w:tcW w:w="1855"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.751</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Box Hill</w:t>
            </w:r>
          </w:p>
        </w:tc>
        <w:tc>
          <w:tcPr>
            <w:tcW w:w="1292" w:type="dxa"/>
            <w:shd w:val="clear" w:color="auto" w:fill="D6E3BC" w:themeFill="accent3"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.595</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1.002</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.778</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.875</w:t>
            </w:r>
          </w:p>
        </w:tc>
        <w:tc>
          <w:tcPr>
            <w:tcW w:w="1855" w:type="dxa"/>
            <w:shd w:val="clear" w:color="auto" w:fill="D6E3BC" w:themeFill="accent3"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.655</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Brighton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.709</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.972</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1.074</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1.125</w:t>
            </w:r>
          </w:p>
        </w:tc>
        <w:tc>
          <w:tcPr>
            <w:tcW w:w="1855"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1.129</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Broadmeadows</w:t>
            </w:r>
          </w:p>
        </w:tc>
        <w:tc>
          <w:tcPr>
            <w:tcW w:w="1292"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2.078</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1.211</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.792</w:t>
            </w:r>
          </w:p>
        </w:tc>
        <w:tc>
          <w:tcPr>
            <w:tcW w:w="1497" w:type="dxa"/>
            <w:shd w:val="clear" w:color="auto" w:fill="D6E3BC" w:themeFill="accent3"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.642</w:t>
            </w:r>
          </w:p>
        </w:tc>
        <w:tc>
          <w:tcPr>
            <w:tcW w:w="1855" w:type="dxa"/>
            <w:vAlign w:val="center"/>
          </w:tcPr>
          <w:p w:rsidR="00AE3E4A" w:rsidRPr="00EB3ED9"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highlight w:val="cyan"/>
              </w:rPr>
            </w:pPr>
            <w:r w:rsidRPr="00AE3E4A">
              <w:rPr>
                <w:rFonts w:ascii="Arial" w:hAnsi="Arial" w:cs="Arial"/>
              </w:rPr>
              <w:t>1.093</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Brunswick</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.873</w:t>
            </w:r>
          </w:p>
        </w:tc>
        <w:tc>
          <w:tcPr>
            <w:tcW w:w="1518"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1.565</w:t>
            </w:r>
          </w:p>
        </w:tc>
        <w:tc>
          <w:tcPr>
            <w:tcW w:w="1201"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1.39</w:t>
            </w:r>
          </w:p>
        </w:tc>
        <w:tc>
          <w:tcPr>
            <w:tcW w:w="1497"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1.537</w:t>
            </w:r>
          </w:p>
        </w:tc>
        <w:tc>
          <w:tcPr>
            <w:tcW w:w="1855" w:type="dxa"/>
            <w:vAlign w:val="center"/>
          </w:tcPr>
          <w:p w:rsidR="00AE3E4A" w:rsidRPr="00EB3ED9"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highlight w:val="magenta"/>
              </w:rPr>
            </w:pPr>
            <w:r w:rsidRPr="00AE3E4A">
              <w:rPr>
                <w:rFonts w:ascii="Arial" w:hAnsi="Arial" w:cs="Arial"/>
              </w:rPr>
              <w:t>1.21</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Bulleen</w:t>
            </w:r>
          </w:p>
        </w:tc>
        <w:tc>
          <w:tcPr>
            <w:tcW w:w="1292" w:type="dxa"/>
            <w:shd w:val="clear" w:color="auto" w:fill="D6E3BC" w:themeFill="accent3"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.669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.841</w:t>
            </w:r>
          </w:p>
        </w:tc>
        <w:tc>
          <w:tcPr>
            <w:tcW w:w="1201" w:type="dxa"/>
            <w:shd w:val="clear" w:color="auto" w:fill="D6E3BC" w:themeFill="accent3"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.644</w:t>
            </w:r>
          </w:p>
        </w:tc>
        <w:tc>
          <w:tcPr>
            <w:tcW w:w="1497" w:type="dxa"/>
            <w:shd w:val="clear" w:color="auto" w:fill="D6E3BC" w:themeFill="accent3"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.683</w:t>
            </w:r>
          </w:p>
        </w:tc>
        <w:tc>
          <w:tcPr>
            <w:tcW w:w="1855" w:type="dxa"/>
            <w:shd w:val="clear" w:color="auto" w:fill="D6E3BC" w:themeFill="accent3"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.657</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Bundoora</w:t>
            </w:r>
          </w:p>
        </w:tc>
        <w:tc>
          <w:tcPr>
            <w:tcW w:w="1292" w:type="dxa"/>
            <w:shd w:val="clear" w:color="auto" w:fill="D6E3BC" w:themeFill="accent3"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.686</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.803</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.701</w:t>
            </w:r>
          </w:p>
        </w:tc>
        <w:tc>
          <w:tcPr>
            <w:tcW w:w="1497" w:type="dxa"/>
            <w:shd w:val="clear" w:color="auto" w:fill="D6E3BC" w:themeFill="accent3"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.698</w:t>
            </w:r>
          </w:p>
        </w:tc>
        <w:tc>
          <w:tcPr>
            <w:tcW w:w="1855" w:type="dxa"/>
            <w:shd w:val="clear" w:color="auto" w:fill="D6E3BC" w:themeFill="accent3"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.633</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Buninyong</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.848</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.736</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1.109</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1.08</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.942</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Burwood</w:t>
            </w:r>
          </w:p>
        </w:tc>
        <w:tc>
          <w:tcPr>
            <w:tcW w:w="1292" w:type="dxa"/>
            <w:shd w:val="clear" w:color="auto" w:fill="D6E3BC" w:themeFill="accent3"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.669</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.967</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.793</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.875</w:t>
            </w:r>
          </w:p>
        </w:tc>
        <w:tc>
          <w:tcPr>
            <w:tcW w:w="1855" w:type="dxa"/>
            <w:shd w:val="clear" w:color="auto" w:fill="D6E3BC" w:themeFill="accent3"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.67</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Carrum</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1.195</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.899</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1.263</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1.214</w:t>
            </w:r>
          </w:p>
        </w:tc>
        <w:tc>
          <w:tcPr>
            <w:tcW w:w="1855"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1.494</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Caulfield</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.862</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1.107</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.997</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1.041</w:t>
            </w:r>
          </w:p>
        </w:tc>
        <w:tc>
          <w:tcPr>
            <w:tcW w:w="1855" w:type="dxa"/>
            <w:vAlign w:val="center"/>
          </w:tcPr>
          <w:p w:rsidR="00AE3E4A" w:rsidRP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highlight w:val="magenta"/>
              </w:rPr>
            </w:pPr>
            <w:r w:rsidRPr="00AE3E4A">
              <w:rPr>
                <w:rFonts w:ascii="Arial" w:hAnsi="Arial" w:cs="Arial"/>
              </w:rPr>
              <w:t>.929</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Clarinda</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.932</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1.152</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.746</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.748</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.76</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Cranbourne</w:t>
            </w:r>
          </w:p>
        </w:tc>
        <w:tc>
          <w:tcPr>
            <w:tcW w:w="1292"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1.744</w:t>
            </w:r>
          </w:p>
        </w:tc>
        <w:tc>
          <w:tcPr>
            <w:tcW w:w="1518"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1.487</w:t>
            </w:r>
          </w:p>
        </w:tc>
        <w:tc>
          <w:tcPr>
            <w:tcW w:w="1201"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1.618</w:t>
            </w:r>
          </w:p>
        </w:tc>
        <w:tc>
          <w:tcPr>
            <w:tcW w:w="1497"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1.515</w:t>
            </w:r>
          </w:p>
        </w:tc>
        <w:tc>
          <w:tcPr>
            <w:tcW w:w="1855"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1.517</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Croydon</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.854</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.928</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Dandenong</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1.213</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1.295</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.861</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.76</w:t>
            </w:r>
          </w:p>
        </w:tc>
        <w:tc>
          <w:tcPr>
            <w:tcW w:w="1855"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1.019</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Eildon</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.872</w:t>
            </w:r>
          </w:p>
        </w:tc>
        <w:tc>
          <w:tcPr>
            <w:tcW w:w="1518" w:type="dxa"/>
            <w:shd w:val="clear" w:color="auto" w:fill="D6E3BC" w:themeFill="accent3"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.686</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.859</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.874</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.989</w:t>
            </w:r>
          </w:p>
        </w:tc>
      </w:tr>
    </w:tbl>
    <w:p w:rsidR="00437F33" w:rsidRDefault="00437F33">
      <w:r w:rsidRPr="00A14F9F">
        <w:rPr>
          <w:rFonts w:ascii="Arial" w:hAnsi="Arial" w:cs="Arial"/>
          <w:b/>
          <w:sz w:val="20"/>
          <w:szCs w:val="20"/>
        </w:rPr>
        <w:t xml:space="preserve">Table </w:t>
      </w:r>
      <w:r>
        <w:rPr>
          <w:rFonts w:ascii="Arial" w:hAnsi="Arial" w:cs="Arial"/>
          <w:b/>
          <w:sz w:val="20"/>
          <w:szCs w:val="20"/>
        </w:rPr>
        <w:t>4.1</w:t>
      </w:r>
      <w:r w:rsidRPr="00A14F9F">
        <w:rPr>
          <w:rFonts w:ascii="Arial" w:hAnsi="Arial" w:cs="Arial"/>
          <w:b/>
          <w:sz w:val="20"/>
          <w:szCs w:val="20"/>
        </w:rPr>
        <w:t xml:space="preserve">: </w:t>
      </w:r>
      <w:r>
        <w:rPr>
          <w:rFonts w:ascii="Arial" w:hAnsi="Arial" w:cs="Arial"/>
          <w:b/>
          <w:sz w:val="20"/>
          <w:szCs w:val="20"/>
        </w:rPr>
        <w:t>Geographic distribution</w:t>
      </w:r>
      <w:r w:rsidRPr="00A14F9F">
        <w:rPr>
          <w:rFonts w:ascii="Arial" w:hAnsi="Arial" w:cs="Arial"/>
          <w:b/>
          <w:sz w:val="20"/>
          <w:szCs w:val="20"/>
        </w:rPr>
        <w:t xml:space="preserve"> of direct enrolments</w:t>
      </w:r>
    </w:p>
    <w:tbl>
      <w:tblPr>
        <w:tblStyle w:val="LightList-Accent3"/>
        <w:tblW w:w="0" w:type="auto"/>
        <w:tblLook w:val="04A0" w:firstRow="1" w:lastRow="0" w:firstColumn="1" w:lastColumn="0" w:noHBand="0" w:noVBand="1"/>
        <w:tblCaption w:val="Table 4.2: geographic distribution of direct enrolments"/>
      </w:tblPr>
      <w:tblGrid>
        <w:gridCol w:w="1879"/>
        <w:gridCol w:w="1292"/>
        <w:gridCol w:w="1518"/>
        <w:gridCol w:w="1201"/>
        <w:gridCol w:w="1497"/>
        <w:gridCol w:w="1855"/>
      </w:tblGrid>
      <w:tr w:rsidR="00AE3E4A" w:rsidTr="00EF720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shd w:val="clear" w:color="auto" w:fill="auto"/>
            <w:vAlign w:val="center"/>
          </w:tcPr>
          <w:p w:rsidR="00AE3E4A" w:rsidRPr="00437F33" w:rsidRDefault="00AE3E4A" w:rsidP="00CD07B6">
            <w:pPr>
              <w:rPr>
                <w:rFonts w:ascii="Arial" w:hAnsi="Arial" w:cs="Arial"/>
                <w:b w:val="0"/>
                <w:color w:val="auto"/>
              </w:rPr>
            </w:pPr>
            <w:r w:rsidRPr="00437F33">
              <w:rPr>
                <w:rFonts w:ascii="Arial" w:hAnsi="Arial" w:cs="Arial"/>
                <w:b w:val="0"/>
                <w:color w:val="auto"/>
              </w:rPr>
              <w:lastRenderedPageBreak/>
              <w:t>Eltham</w:t>
            </w:r>
          </w:p>
        </w:tc>
        <w:tc>
          <w:tcPr>
            <w:tcW w:w="1292" w:type="dxa"/>
            <w:shd w:val="clear" w:color="auto" w:fill="auto"/>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.753</w:t>
            </w:r>
          </w:p>
        </w:tc>
        <w:tc>
          <w:tcPr>
            <w:tcW w:w="1518" w:type="dxa"/>
            <w:shd w:val="clear" w:color="auto" w:fill="auto"/>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.756</w:t>
            </w:r>
          </w:p>
        </w:tc>
        <w:tc>
          <w:tcPr>
            <w:tcW w:w="1201" w:type="dxa"/>
            <w:shd w:val="clear" w:color="auto" w:fill="D6E3BC" w:themeFill="accent3" w:themeFillTint="66"/>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.682</w:t>
            </w:r>
          </w:p>
        </w:tc>
        <w:tc>
          <w:tcPr>
            <w:tcW w:w="1497" w:type="dxa"/>
            <w:shd w:val="clear" w:color="auto" w:fill="D6E3BC" w:themeFill="accent3" w:themeFillTint="66"/>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.695</w:t>
            </w:r>
          </w:p>
        </w:tc>
        <w:tc>
          <w:tcPr>
            <w:tcW w:w="1855" w:type="dxa"/>
            <w:shd w:val="clear" w:color="auto" w:fill="D6E3BC" w:themeFill="accent3" w:themeFillTint="66"/>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.541</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Essendon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.856</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1.144</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1.036</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1.107</w:t>
            </w:r>
          </w:p>
        </w:tc>
        <w:tc>
          <w:tcPr>
            <w:tcW w:w="1855"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.923</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Euroa</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.98</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.873</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1.014</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.995</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1.226</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Evelyn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.877</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.721</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.799</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.813</w:t>
            </w:r>
          </w:p>
        </w:tc>
        <w:tc>
          <w:tcPr>
            <w:tcW w:w="1855"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.747</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Ferntree Gully</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.768</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.758</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.702</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.708</w:t>
            </w:r>
          </w:p>
        </w:tc>
        <w:tc>
          <w:tcPr>
            <w:tcW w:w="1855"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.76</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Footscray</w:t>
            </w:r>
          </w:p>
        </w:tc>
        <w:tc>
          <w:tcPr>
            <w:tcW w:w="1292"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1.353</w:t>
            </w:r>
          </w:p>
        </w:tc>
        <w:tc>
          <w:tcPr>
            <w:tcW w:w="1518"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1.358</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1.199</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1.161</w:t>
            </w:r>
          </w:p>
        </w:tc>
        <w:tc>
          <w:tcPr>
            <w:tcW w:w="1855"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1.264</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Forest Hill</w:t>
            </w:r>
          </w:p>
        </w:tc>
        <w:tc>
          <w:tcPr>
            <w:tcW w:w="1292"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.588</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.802</w:t>
            </w:r>
          </w:p>
        </w:tc>
        <w:tc>
          <w:tcPr>
            <w:tcW w:w="1201"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.552</w:t>
            </w:r>
          </w:p>
        </w:tc>
        <w:tc>
          <w:tcPr>
            <w:tcW w:w="1497"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.599</w:t>
            </w:r>
          </w:p>
        </w:tc>
        <w:tc>
          <w:tcPr>
            <w:tcW w:w="1855"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.47</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Frankston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1.219</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.823</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1.211</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1.113</w:t>
            </w:r>
          </w:p>
        </w:tc>
        <w:tc>
          <w:tcPr>
            <w:tcW w:w="1855"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1.592</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Geelong</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.989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.834</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1.287</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1.265</w:t>
            </w:r>
          </w:p>
        </w:tc>
        <w:tc>
          <w:tcPr>
            <w:tcW w:w="1855" w:type="dxa"/>
            <w:vAlign w:val="center"/>
          </w:tcPr>
          <w:p w:rsidR="00AE3E4A"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1.241</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Gembrook</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1.26</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.936</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1.203</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1.177</w:t>
            </w:r>
          </w:p>
        </w:tc>
        <w:tc>
          <w:tcPr>
            <w:tcW w:w="1855" w:type="dxa"/>
            <w:vAlign w:val="center"/>
          </w:tcPr>
          <w:p w:rsidR="00AE3E4A"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1.118</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Gippsland East</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.736</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.931</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.949</w:t>
            </w:r>
          </w:p>
        </w:tc>
        <w:tc>
          <w:tcPr>
            <w:tcW w:w="1855" w:type="dxa"/>
            <w:vAlign w:val="center"/>
          </w:tcPr>
          <w:p w:rsidR="00AE3E4A"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1.118</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Gippsland South</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.779</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.703</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.896</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.922</w:t>
            </w:r>
          </w:p>
        </w:tc>
        <w:tc>
          <w:tcPr>
            <w:tcW w:w="1855" w:type="dxa"/>
            <w:vAlign w:val="center"/>
          </w:tcPr>
          <w:p w:rsidR="00AE3E4A"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.932</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Hastings</w:t>
            </w:r>
          </w:p>
        </w:tc>
        <w:tc>
          <w:tcPr>
            <w:tcW w:w="1292"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1.399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1.011</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1.205</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1.144</w:t>
            </w:r>
          </w:p>
        </w:tc>
        <w:tc>
          <w:tcPr>
            <w:tcW w:w="1855" w:type="dxa"/>
            <w:shd w:val="clear" w:color="auto" w:fill="FBD4B4" w:themeFill="accent6" w:themeFillTint="66"/>
            <w:vAlign w:val="center"/>
          </w:tcPr>
          <w:p w:rsidR="00AE3E4A" w:rsidRPr="00B471D1"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1.391</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Hawthorn</w:t>
            </w:r>
          </w:p>
        </w:tc>
        <w:tc>
          <w:tcPr>
            <w:tcW w:w="1292" w:type="dxa"/>
            <w:shd w:val="clear" w:color="auto" w:fill="D6E3BC" w:themeFill="accent3" w:themeFillTint="66"/>
            <w:vAlign w:val="center"/>
          </w:tcPr>
          <w:p w:rsidR="00AE3E4A" w:rsidRPr="00695B7B"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.686</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1.15</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.984</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1.13</w:t>
            </w:r>
          </w:p>
        </w:tc>
        <w:tc>
          <w:tcPr>
            <w:tcW w:w="1855" w:type="dxa"/>
            <w:vAlign w:val="center"/>
          </w:tcPr>
          <w:p w:rsidR="00AE3E4A"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.758</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Ivanhoe</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.794</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.906</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.845</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.908</w:t>
            </w:r>
          </w:p>
        </w:tc>
        <w:tc>
          <w:tcPr>
            <w:tcW w:w="1855" w:type="dxa"/>
            <w:shd w:val="clear" w:color="auto" w:fill="D6E3BC" w:themeFill="accent3" w:themeFillTint="66"/>
            <w:vAlign w:val="center"/>
          </w:tcPr>
          <w:p w:rsidR="00AE3E4A" w:rsidRPr="00695B7B"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.687</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Kew</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.713</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1.04</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.783</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.861</w:t>
            </w:r>
          </w:p>
        </w:tc>
        <w:tc>
          <w:tcPr>
            <w:tcW w:w="1855" w:type="dxa"/>
            <w:shd w:val="clear" w:color="auto" w:fill="D6E3BC" w:themeFill="accent3" w:themeFillTint="66"/>
            <w:vAlign w:val="center"/>
          </w:tcPr>
          <w:p w:rsidR="00AE3E4A" w:rsidRPr="00695B7B"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.683</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Keysborough</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1.137</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1.032</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.781</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.732</w:t>
            </w:r>
          </w:p>
        </w:tc>
        <w:tc>
          <w:tcPr>
            <w:tcW w:w="1855" w:type="dxa"/>
            <w:shd w:val="clear" w:color="auto" w:fill="D6E3BC" w:themeFill="accent3" w:themeFillTint="66"/>
            <w:vAlign w:val="center"/>
          </w:tcPr>
          <w:p w:rsidR="00AE3E4A" w:rsidRPr="00695B7B"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.685</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proofErr w:type="spellStart"/>
            <w:r w:rsidRPr="00695B7B">
              <w:rPr>
                <w:rFonts w:ascii="Arial" w:hAnsi="Arial" w:cs="Arial"/>
                <w:b w:val="0"/>
              </w:rPr>
              <w:t>Kororoit</w:t>
            </w:r>
            <w:proofErr w:type="spellEnd"/>
          </w:p>
        </w:tc>
        <w:tc>
          <w:tcPr>
            <w:tcW w:w="1292"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1.598</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1.245</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1.032</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.895</w:t>
            </w:r>
          </w:p>
        </w:tc>
        <w:tc>
          <w:tcPr>
            <w:tcW w:w="1855" w:type="dxa"/>
            <w:vAlign w:val="center"/>
          </w:tcPr>
          <w:p w:rsidR="00AE3E4A"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1.15</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Lara</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1.17</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.817</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1.102</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1.018</w:t>
            </w:r>
          </w:p>
        </w:tc>
        <w:tc>
          <w:tcPr>
            <w:tcW w:w="1855" w:type="dxa"/>
            <w:shd w:val="clear" w:color="auto" w:fill="FBD4B4" w:themeFill="accent6" w:themeFillTint="66"/>
            <w:vAlign w:val="center"/>
          </w:tcPr>
          <w:p w:rsidR="00AE3E4A" w:rsidRPr="00B471D1"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1.46</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Lowan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.769</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.839</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.816</w:t>
            </w:r>
          </w:p>
        </w:tc>
        <w:tc>
          <w:tcPr>
            <w:tcW w:w="1855" w:type="dxa"/>
            <w:shd w:val="clear" w:color="auto" w:fill="D6E3BC" w:themeFill="accent3" w:themeFillTint="66"/>
            <w:vAlign w:val="center"/>
          </w:tcPr>
          <w:p w:rsidR="00AE3E4A" w:rsidRPr="00695B7B"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.687</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Macedon</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.797</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.712</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.86</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.877</w:t>
            </w:r>
          </w:p>
        </w:tc>
        <w:tc>
          <w:tcPr>
            <w:tcW w:w="1855" w:type="dxa"/>
            <w:vAlign w:val="center"/>
          </w:tcPr>
          <w:p w:rsidR="00AE3E4A"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.846</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Malvern</w:t>
            </w:r>
          </w:p>
        </w:tc>
        <w:tc>
          <w:tcPr>
            <w:tcW w:w="1292" w:type="dxa"/>
            <w:shd w:val="clear" w:color="auto" w:fill="D6E3BC" w:themeFill="accent3" w:themeFillTint="66"/>
            <w:vAlign w:val="center"/>
          </w:tcPr>
          <w:p w:rsidR="00AE3E4A" w:rsidRPr="00695B7B"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.642</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.975</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.901</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.98</w:t>
            </w:r>
          </w:p>
        </w:tc>
        <w:tc>
          <w:tcPr>
            <w:tcW w:w="1855" w:type="dxa"/>
            <w:vAlign w:val="center"/>
          </w:tcPr>
          <w:p w:rsidR="00AE3E4A"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.736</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Melbourne</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.958</w:t>
            </w:r>
          </w:p>
        </w:tc>
        <w:tc>
          <w:tcPr>
            <w:tcW w:w="1518"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2.22</w:t>
            </w:r>
          </w:p>
        </w:tc>
        <w:tc>
          <w:tcPr>
            <w:tcW w:w="1201"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1.413</w:t>
            </w:r>
          </w:p>
        </w:tc>
        <w:tc>
          <w:tcPr>
            <w:tcW w:w="1497"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1.724</w:t>
            </w:r>
          </w:p>
        </w:tc>
        <w:tc>
          <w:tcPr>
            <w:tcW w:w="1855" w:type="dxa"/>
            <w:shd w:val="clear" w:color="auto" w:fill="FBD4B4" w:themeFill="accent6" w:themeFillTint="66"/>
            <w:vAlign w:val="center"/>
          </w:tcPr>
          <w:p w:rsidR="00AE3E4A" w:rsidRPr="00B471D1"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1.376</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Melton</w:t>
            </w:r>
          </w:p>
        </w:tc>
        <w:tc>
          <w:tcPr>
            <w:tcW w:w="1292"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1.757</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1.025</w:t>
            </w:r>
          </w:p>
        </w:tc>
        <w:tc>
          <w:tcPr>
            <w:tcW w:w="1201"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1.382</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1.232</w:t>
            </w:r>
          </w:p>
        </w:tc>
        <w:tc>
          <w:tcPr>
            <w:tcW w:w="1855" w:type="dxa"/>
            <w:shd w:val="clear" w:color="auto" w:fill="FBD4B4" w:themeFill="accent6" w:themeFillTint="66"/>
            <w:vAlign w:val="center"/>
          </w:tcPr>
          <w:p w:rsidR="00AE3E4A" w:rsidRPr="00B471D1"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1.592</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Mildura</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1.157</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1.008</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.909</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.857</w:t>
            </w:r>
          </w:p>
        </w:tc>
        <w:tc>
          <w:tcPr>
            <w:tcW w:w="1855" w:type="dxa"/>
            <w:vAlign w:val="center"/>
          </w:tcPr>
          <w:p w:rsidR="00AE3E4A"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1.215</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Mill Park</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1.197</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1.057</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.876</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.809</w:t>
            </w:r>
          </w:p>
        </w:tc>
        <w:tc>
          <w:tcPr>
            <w:tcW w:w="1855" w:type="dxa"/>
            <w:vAlign w:val="center"/>
          </w:tcPr>
          <w:p w:rsidR="00AE3E4A" w:rsidRDefault="00F76BC3"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.837</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Monbulk</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.863</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.755</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.718</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.749</w:t>
            </w:r>
          </w:p>
        </w:tc>
        <w:tc>
          <w:tcPr>
            <w:tcW w:w="1855" w:type="dxa"/>
            <w:vAlign w:val="center"/>
          </w:tcPr>
          <w:p w:rsidR="00AE3E4A" w:rsidRDefault="00F76BC3"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.773</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Mordialloc</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.829</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.817</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.877</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.933</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.846</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Mornington</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.825</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.788</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1.004</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1.039</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.854</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Morwell</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1.293</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1.153</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1.029</w:t>
            </w:r>
          </w:p>
        </w:tc>
        <w:tc>
          <w:tcPr>
            <w:tcW w:w="1855" w:type="dxa"/>
            <w:shd w:val="clear" w:color="auto" w:fill="FBD4B4" w:themeFill="accent6" w:themeFillTint="66"/>
            <w:vAlign w:val="center"/>
          </w:tcPr>
          <w:p w:rsidR="00AE3E4A" w:rsidRPr="00B471D1"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1.311</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Mount Waverley</w:t>
            </w:r>
          </w:p>
        </w:tc>
        <w:tc>
          <w:tcPr>
            <w:tcW w:w="1292"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.649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.993</w:t>
            </w:r>
          </w:p>
        </w:tc>
        <w:tc>
          <w:tcPr>
            <w:tcW w:w="1201"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.602</w:t>
            </w:r>
          </w:p>
        </w:tc>
        <w:tc>
          <w:tcPr>
            <w:tcW w:w="1497"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.628</w:t>
            </w:r>
          </w:p>
        </w:tc>
        <w:tc>
          <w:tcPr>
            <w:tcW w:w="1855" w:type="dxa"/>
            <w:shd w:val="clear" w:color="auto" w:fill="D6E3BC" w:themeFill="accent3" w:themeFillTint="66"/>
            <w:vAlign w:val="center"/>
          </w:tcPr>
          <w:p w:rsidR="00AE3E4A" w:rsidRPr="00695B7B"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.549</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Mulgrave</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.821</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.919</w:t>
            </w:r>
          </w:p>
        </w:tc>
        <w:tc>
          <w:tcPr>
            <w:tcW w:w="1201" w:type="dxa"/>
            <w:shd w:val="clear" w:color="auto" w:fill="D6E3BC" w:themeFill="accent3" w:themeFillTint="66"/>
            <w:vAlign w:val="center"/>
          </w:tcPr>
          <w:p w:rsidR="00AE3E4A" w:rsidRPr="00695B7B"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.635</w:t>
            </w:r>
          </w:p>
        </w:tc>
        <w:tc>
          <w:tcPr>
            <w:tcW w:w="1497" w:type="dxa"/>
            <w:shd w:val="clear" w:color="auto" w:fill="D6E3BC" w:themeFill="accent3" w:themeFillTint="66"/>
            <w:vAlign w:val="center"/>
          </w:tcPr>
          <w:p w:rsidR="00AE3E4A" w:rsidRPr="00695B7B"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.644</w:t>
            </w:r>
          </w:p>
        </w:tc>
        <w:tc>
          <w:tcPr>
            <w:tcW w:w="1855" w:type="dxa"/>
            <w:shd w:val="clear" w:color="auto" w:fill="D6E3BC" w:themeFill="accent3" w:themeFillTint="66"/>
            <w:vAlign w:val="center"/>
          </w:tcPr>
          <w:p w:rsidR="00AE3E4A" w:rsidRPr="00695B7B"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.667</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Murray Plains</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1.038</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.858</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.924</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.909</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1.054</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proofErr w:type="spellStart"/>
            <w:r w:rsidRPr="00695B7B">
              <w:rPr>
                <w:rFonts w:ascii="Arial" w:hAnsi="Arial" w:cs="Arial"/>
                <w:b w:val="0"/>
              </w:rPr>
              <w:t>Narracan</w:t>
            </w:r>
            <w:proofErr w:type="spellEnd"/>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1.086</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.809</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1.168</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1.139</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1.223</w:t>
            </w:r>
          </w:p>
        </w:tc>
      </w:tr>
      <w:tr w:rsidR="00AE3E4A" w:rsidTr="00EF7208">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Narre Warren North</w:t>
            </w:r>
          </w:p>
        </w:tc>
        <w:tc>
          <w:tcPr>
            <w:tcW w:w="1292"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1.341</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1.036</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.745</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.888</w:t>
            </w:r>
          </w:p>
        </w:tc>
      </w:tr>
      <w:tr w:rsidR="00AE3E4A" w:rsidTr="00EF7208">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Narre Warren South</w:t>
            </w:r>
          </w:p>
        </w:tc>
        <w:tc>
          <w:tcPr>
            <w:tcW w:w="1292"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1.59</w:t>
            </w:r>
          </w:p>
        </w:tc>
        <w:tc>
          <w:tcPr>
            <w:tcW w:w="1518"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1.424</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1.007</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.911</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1.075</w:t>
            </w:r>
          </w:p>
        </w:tc>
      </w:tr>
    </w:tbl>
    <w:p w:rsidR="00437F33" w:rsidRDefault="00437F33">
      <w:r w:rsidRPr="00A14F9F">
        <w:rPr>
          <w:rFonts w:ascii="Arial" w:hAnsi="Arial" w:cs="Arial"/>
          <w:b/>
          <w:sz w:val="20"/>
          <w:szCs w:val="20"/>
        </w:rPr>
        <w:t xml:space="preserve">Table </w:t>
      </w:r>
      <w:r>
        <w:rPr>
          <w:rFonts w:ascii="Arial" w:hAnsi="Arial" w:cs="Arial"/>
          <w:b/>
          <w:sz w:val="20"/>
          <w:szCs w:val="20"/>
        </w:rPr>
        <w:t>4.2</w:t>
      </w:r>
      <w:r w:rsidRPr="00A14F9F">
        <w:rPr>
          <w:rFonts w:ascii="Arial" w:hAnsi="Arial" w:cs="Arial"/>
          <w:b/>
          <w:sz w:val="20"/>
          <w:szCs w:val="20"/>
        </w:rPr>
        <w:t xml:space="preserve">: </w:t>
      </w:r>
      <w:r>
        <w:rPr>
          <w:rFonts w:ascii="Arial" w:hAnsi="Arial" w:cs="Arial"/>
          <w:b/>
          <w:sz w:val="20"/>
          <w:szCs w:val="20"/>
        </w:rPr>
        <w:t>Geographic distribution</w:t>
      </w:r>
      <w:r w:rsidRPr="00A14F9F">
        <w:rPr>
          <w:rFonts w:ascii="Arial" w:hAnsi="Arial" w:cs="Arial"/>
          <w:b/>
          <w:sz w:val="20"/>
          <w:szCs w:val="20"/>
        </w:rPr>
        <w:t xml:space="preserve"> of direct enrolments</w:t>
      </w:r>
    </w:p>
    <w:tbl>
      <w:tblPr>
        <w:tblStyle w:val="LightList-Accent3"/>
        <w:tblW w:w="0" w:type="auto"/>
        <w:tblLook w:val="04A0" w:firstRow="1" w:lastRow="0" w:firstColumn="1" w:lastColumn="0" w:noHBand="0" w:noVBand="1"/>
        <w:tblCaption w:val="Table 4.3: geographic distribution of direct enrolments"/>
      </w:tblPr>
      <w:tblGrid>
        <w:gridCol w:w="1879"/>
        <w:gridCol w:w="1292"/>
        <w:gridCol w:w="1518"/>
        <w:gridCol w:w="1201"/>
        <w:gridCol w:w="1497"/>
        <w:gridCol w:w="1855"/>
      </w:tblGrid>
      <w:tr w:rsidR="00AE3E4A" w:rsidTr="00437F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shd w:val="clear" w:color="auto" w:fill="auto"/>
            <w:vAlign w:val="center"/>
          </w:tcPr>
          <w:p w:rsidR="00AE3E4A" w:rsidRPr="00437F33" w:rsidRDefault="00AE3E4A" w:rsidP="00CD07B6">
            <w:pPr>
              <w:rPr>
                <w:rFonts w:ascii="Arial" w:hAnsi="Arial" w:cs="Arial"/>
                <w:b w:val="0"/>
                <w:color w:val="auto"/>
              </w:rPr>
            </w:pPr>
            <w:r w:rsidRPr="00437F33">
              <w:rPr>
                <w:rFonts w:ascii="Arial" w:hAnsi="Arial" w:cs="Arial"/>
                <w:b w:val="0"/>
                <w:color w:val="auto"/>
              </w:rPr>
              <w:lastRenderedPageBreak/>
              <w:t>Nepean</w:t>
            </w:r>
          </w:p>
        </w:tc>
        <w:tc>
          <w:tcPr>
            <w:tcW w:w="1292" w:type="dxa"/>
            <w:shd w:val="clear" w:color="auto" w:fill="auto"/>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.983</w:t>
            </w:r>
          </w:p>
        </w:tc>
        <w:tc>
          <w:tcPr>
            <w:tcW w:w="1518" w:type="dxa"/>
            <w:shd w:val="clear" w:color="auto" w:fill="D6E3BC" w:themeFill="accent3" w:themeFillTint="66"/>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.617</w:t>
            </w:r>
          </w:p>
        </w:tc>
        <w:tc>
          <w:tcPr>
            <w:tcW w:w="1201" w:type="dxa"/>
            <w:shd w:val="clear" w:color="auto" w:fill="auto"/>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1.26</w:t>
            </w:r>
          </w:p>
        </w:tc>
        <w:tc>
          <w:tcPr>
            <w:tcW w:w="1497" w:type="dxa"/>
            <w:shd w:val="clear" w:color="auto" w:fill="auto"/>
            <w:vAlign w:val="center"/>
          </w:tcPr>
          <w:p w:rsidR="00AE3E4A" w:rsidRPr="00437F33" w:rsidRDefault="00AE3E4A"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.729</w:t>
            </w:r>
          </w:p>
        </w:tc>
        <w:tc>
          <w:tcPr>
            <w:tcW w:w="1855" w:type="dxa"/>
            <w:shd w:val="clear" w:color="auto" w:fill="FBD4B4" w:themeFill="accent6" w:themeFillTint="66"/>
            <w:vAlign w:val="center"/>
          </w:tcPr>
          <w:p w:rsidR="00AE3E4A" w:rsidRPr="00437F33" w:rsidRDefault="00E30028" w:rsidP="00CD07B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1.436</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437F33" w:rsidRDefault="00AE3E4A" w:rsidP="00CD07B6">
            <w:pPr>
              <w:rPr>
                <w:rFonts w:ascii="Arial" w:hAnsi="Arial" w:cs="Arial"/>
                <w:b w:val="0"/>
              </w:rPr>
            </w:pPr>
            <w:r w:rsidRPr="00437F33">
              <w:rPr>
                <w:rFonts w:ascii="Arial" w:hAnsi="Arial" w:cs="Arial"/>
                <w:b w:val="0"/>
              </w:rPr>
              <w:t>Niddrie</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.727</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.707</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.713</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.729</w:t>
            </w:r>
          </w:p>
        </w:tc>
        <w:tc>
          <w:tcPr>
            <w:tcW w:w="1855" w:type="dxa"/>
            <w:shd w:val="clear" w:color="auto" w:fill="D6E3BC" w:themeFill="accent3" w:themeFillTint="66"/>
            <w:vAlign w:val="center"/>
          </w:tcPr>
          <w:p w:rsidR="00AE3E4A" w:rsidRPr="00695B7B"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.624</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Northcote</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.708</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1.113</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1.174</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1.296</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.964</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Oakleigh</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.72</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1.116</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.834</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.903</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Ovens Valley</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.793</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.749</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.891</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.901</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.966</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Pascoe Vale</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1.185</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1.128</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1.012</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1.028</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.99</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Polwarth</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.865</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.712</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.888</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.914</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.906</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Prahran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.954</w:t>
            </w:r>
          </w:p>
        </w:tc>
        <w:tc>
          <w:tcPr>
            <w:tcW w:w="1518"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1.855</w:t>
            </w:r>
          </w:p>
        </w:tc>
        <w:tc>
          <w:tcPr>
            <w:tcW w:w="1201"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1.651</w:t>
            </w:r>
          </w:p>
        </w:tc>
        <w:tc>
          <w:tcPr>
            <w:tcW w:w="1497"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1.759</w:t>
            </w:r>
          </w:p>
        </w:tc>
        <w:tc>
          <w:tcPr>
            <w:tcW w:w="1855" w:type="dxa"/>
            <w:shd w:val="clear" w:color="auto" w:fill="FBD4B4" w:themeFill="accent6" w:themeFillTint="66"/>
            <w:vAlign w:val="center"/>
          </w:tcPr>
          <w:p w:rsidR="00AE3E4A" w:rsidRPr="00B471D1"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1.706</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Preston</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.947</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.983</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.938</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.944</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Richmond</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.895</w:t>
            </w:r>
          </w:p>
        </w:tc>
        <w:tc>
          <w:tcPr>
            <w:tcW w:w="1518"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1.681</w:t>
            </w:r>
          </w:p>
        </w:tc>
        <w:tc>
          <w:tcPr>
            <w:tcW w:w="1201"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1.609</w:t>
            </w:r>
          </w:p>
        </w:tc>
        <w:tc>
          <w:tcPr>
            <w:tcW w:w="1497"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1.81</w:t>
            </w:r>
          </w:p>
        </w:tc>
        <w:tc>
          <w:tcPr>
            <w:tcW w:w="1855" w:type="dxa"/>
            <w:shd w:val="clear" w:color="auto" w:fill="FBD4B4" w:themeFill="accent6" w:themeFillTint="66"/>
            <w:vAlign w:val="center"/>
          </w:tcPr>
          <w:p w:rsidR="00AE3E4A" w:rsidRPr="00B471D1"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1.417</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Ringwood</w:t>
            </w:r>
          </w:p>
        </w:tc>
        <w:tc>
          <w:tcPr>
            <w:tcW w:w="1292"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.628</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.845</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.837</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.886</w:t>
            </w:r>
          </w:p>
        </w:tc>
        <w:tc>
          <w:tcPr>
            <w:tcW w:w="1855" w:type="dxa"/>
            <w:shd w:val="clear" w:color="auto" w:fill="D6E3BC" w:themeFill="accent3" w:themeFillTint="66"/>
            <w:vAlign w:val="center"/>
          </w:tcPr>
          <w:p w:rsidR="00AE3E4A" w:rsidRPr="00695B7B"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.695</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Ripon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.778</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.713</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.93</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.937</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1.017</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Rowville</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.945</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.864</w:t>
            </w:r>
          </w:p>
        </w:tc>
        <w:tc>
          <w:tcPr>
            <w:tcW w:w="1201"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.59</w:t>
            </w:r>
          </w:p>
        </w:tc>
        <w:tc>
          <w:tcPr>
            <w:tcW w:w="1497"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.568</w:t>
            </w:r>
          </w:p>
        </w:tc>
        <w:tc>
          <w:tcPr>
            <w:tcW w:w="1855" w:type="dxa"/>
            <w:shd w:val="clear" w:color="auto" w:fill="D6E3BC" w:themeFill="accent3" w:themeFillTint="66"/>
            <w:vAlign w:val="center"/>
          </w:tcPr>
          <w:p w:rsidR="00AE3E4A" w:rsidRPr="00695B7B"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.513</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Sandringham</w:t>
            </w:r>
          </w:p>
        </w:tc>
        <w:tc>
          <w:tcPr>
            <w:tcW w:w="1292" w:type="dxa"/>
            <w:shd w:val="clear" w:color="auto" w:fill="D6E3BC" w:themeFill="accent3" w:themeFillTint="66"/>
            <w:vAlign w:val="center"/>
          </w:tcPr>
          <w:p w:rsidR="00AE3E4A" w:rsidRPr="00695B7B"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.609</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.851</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.862</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.931</w:t>
            </w:r>
          </w:p>
        </w:tc>
        <w:tc>
          <w:tcPr>
            <w:tcW w:w="1855" w:type="dxa"/>
            <w:shd w:val="clear" w:color="auto" w:fill="D6E3BC" w:themeFill="accent3" w:themeFillTint="66"/>
            <w:vAlign w:val="center"/>
          </w:tcPr>
          <w:p w:rsidR="00AE3E4A" w:rsidRPr="00695B7B"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.663</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Shepparton</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1.217</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.964</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1.11</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1.036</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1.198</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South Barwon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.883</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.875</w:t>
            </w:r>
          </w:p>
        </w:tc>
        <w:tc>
          <w:tcPr>
            <w:tcW w:w="1201"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1.33</w:t>
            </w:r>
          </w:p>
        </w:tc>
        <w:tc>
          <w:tcPr>
            <w:tcW w:w="1497"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1.338</w:t>
            </w:r>
          </w:p>
        </w:tc>
        <w:tc>
          <w:tcPr>
            <w:tcW w:w="1855" w:type="dxa"/>
            <w:vAlign w:val="center"/>
          </w:tcPr>
          <w:p w:rsidR="00AE3E4A" w:rsidRPr="00EB3ED9"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highlight w:val="magenta"/>
              </w:rPr>
            </w:pPr>
            <w:r w:rsidRPr="00E30028">
              <w:rPr>
                <w:rFonts w:ascii="Arial" w:hAnsi="Arial" w:cs="Arial"/>
              </w:rPr>
              <w:t>1.028</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South-West Coast</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1.026</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.857</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1.138</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1.104</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.983</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St Albans</w:t>
            </w:r>
          </w:p>
        </w:tc>
        <w:tc>
          <w:tcPr>
            <w:tcW w:w="1292"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1.413</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1.183</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.805</w:t>
            </w:r>
          </w:p>
        </w:tc>
        <w:tc>
          <w:tcPr>
            <w:tcW w:w="1497" w:type="dxa"/>
            <w:shd w:val="clear" w:color="auto" w:fill="D6E3BC" w:themeFill="accent3" w:themeFillTint="66"/>
            <w:vAlign w:val="center"/>
          </w:tcPr>
          <w:p w:rsidR="00AE3E4A" w:rsidRPr="00695B7B"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.687</w:t>
            </w:r>
          </w:p>
        </w:tc>
        <w:tc>
          <w:tcPr>
            <w:tcW w:w="1855" w:type="dxa"/>
            <w:vAlign w:val="center"/>
          </w:tcPr>
          <w:p w:rsidR="00AE3E4A" w:rsidRPr="00EB3ED9"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highlight w:val="cyan"/>
              </w:rPr>
            </w:pPr>
            <w:r w:rsidRPr="00E30028">
              <w:rPr>
                <w:rFonts w:ascii="Arial" w:hAnsi="Arial" w:cs="Arial"/>
              </w:rPr>
              <w:t>1.002</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Sunbury</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.989</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.763</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.942</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.845</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1.013</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Sydenham</w:t>
            </w:r>
          </w:p>
        </w:tc>
        <w:tc>
          <w:tcPr>
            <w:tcW w:w="1292"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1.498</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1.161</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.882</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.795</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.781</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Tarneit</w:t>
            </w:r>
          </w:p>
        </w:tc>
        <w:tc>
          <w:tcPr>
            <w:tcW w:w="1292"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1.695</w:t>
            </w:r>
          </w:p>
        </w:tc>
        <w:tc>
          <w:tcPr>
            <w:tcW w:w="1518"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1.738</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1.168</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1.088</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1.166</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Thomastown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1.231</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.965</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.845</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.751</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.848</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Warrandyte</w:t>
            </w:r>
          </w:p>
        </w:tc>
        <w:tc>
          <w:tcPr>
            <w:tcW w:w="1292"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.695</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.876</w:t>
            </w:r>
          </w:p>
        </w:tc>
        <w:tc>
          <w:tcPr>
            <w:tcW w:w="1201"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.611</w:t>
            </w:r>
          </w:p>
        </w:tc>
        <w:tc>
          <w:tcPr>
            <w:tcW w:w="1497" w:type="dxa"/>
            <w:shd w:val="clear" w:color="auto" w:fill="D6E3BC" w:themeFill="accent3" w:themeFillTint="66"/>
            <w:vAlign w:val="center"/>
          </w:tcPr>
          <w:p w:rsidR="00AE3E4A" w:rsidRPr="00695B7B"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.633</w:t>
            </w:r>
          </w:p>
        </w:tc>
        <w:tc>
          <w:tcPr>
            <w:tcW w:w="1855" w:type="dxa"/>
            <w:shd w:val="clear" w:color="auto" w:fill="D6E3BC" w:themeFill="accent3" w:themeFillTint="66"/>
            <w:vAlign w:val="center"/>
          </w:tcPr>
          <w:p w:rsidR="00AE3E4A" w:rsidRPr="00695B7B"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.582</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Wendouree</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.858</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.759</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1.222</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1.177</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.953</w:t>
            </w:r>
          </w:p>
        </w:tc>
      </w:tr>
      <w:tr w:rsidR="00AE3E4A" w:rsidTr="00CD07B6">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Werribee</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1.231</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1.109</w:t>
            </w:r>
          </w:p>
        </w:tc>
        <w:tc>
          <w:tcPr>
            <w:tcW w:w="1201"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1.016</w:t>
            </w:r>
          </w:p>
        </w:tc>
        <w:tc>
          <w:tcPr>
            <w:tcW w:w="1497"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.94</w:t>
            </w:r>
          </w:p>
        </w:tc>
        <w:tc>
          <w:tcPr>
            <w:tcW w:w="1855" w:type="dxa"/>
            <w:vAlign w:val="center"/>
          </w:tcPr>
          <w:p w:rsidR="00AE3E4A"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1.138</w:t>
            </w:r>
          </w:p>
        </w:tc>
      </w:tr>
      <w:tr w:rsidR="00AE3E4A" w:rsidTr="00CD07B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Williamstown</w:t>
            </w:r>
          </w:p>
        </w:tc>
        <w:tc>
          <w:tcPr>
            <w:tcW w:w="1292"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.989</w:t>
            </w:r>
          </w:p>
        </w:tc>
        <w:tc>
          <w:tcPr>
            <w:tcW w:w="1518"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1.056</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1.129</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1.165</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1.142</w:t>
            </w:r>
          </w:p>
        </w:tc>
      </w:tr>
      <w:tr w:rsidR="00AE3E4A" w:rsidTr="006F74A5">
        <w:trPr>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Yan Yean</w:t>
            </w:r>
          </w:p>
        </w:tc>
        <w:tc>
          <w:tcPr>
            <w:tcW w:w="1292"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1.26</w:t>
            </w:r>
          </w:p>
        </w:tc>
        <w:tc>
          <w:tcPr>
            <w:tcW w:w="1518" w:type="dxa"/>
            <w:vAlign w:val="center"/>
          </w:tcPr>
          <w:p w:rsidR="00AE3E4A"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1.009</w:t>
            </w:r>
          </w:p>
        </w:tc>
        <w:tc>
          <w:tcPr>
            <w:tcW w:w="1201"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1.375</w:t>
            </w:r>
          </w:p>
        </w:tc>
        <w:tc>
          <w:tcPr>
            <w:tcW w:w="1497" w:type="dxa"/>
            <w:shd w:val="clear" w:color="auto" w:fill="FBD4B4" w:themeFill="accent6" w:themeFillTint="66"/>
            <w:vAlign w:val="center"/>
          </w:tcPr>
          <w:p w:rsidR="00AE3E4A" w:rsidRPr="00B471D1" w:rsidRDefault="00AE3E4A" w:rsidP="00CD07B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B471D1">
              <w:rPr>
                <w:rFonts w:ascii="Arial" w:hAnsi="Arial" w:cs="Arial"/>
              </w:rPr>
              <w:t>1.346</w:t>
            </w:r>
          </w:p>
        </w:tc>
        <w:tc>
          <w:tcPr>
            <w:tcW w:w="1855" w:type="dxa"/>
            <w:vAlign w:val="center"/>
          </w:tcPr>
          <w:p w:rsidR="00AE3E4A" w:rsidRPr="00EB3ED9" w:rsidRDefault="00E30028" w:rsidP="00CD07B6">
            <w:pPr>
              <w:cnfStyle w:val="000000000000" w:firstRow="0" w:lastRow="0" w:firstColumn="0" w:lastColumn="0" w:oddVBand="0" w:evenVBand="0" w:oddHBand="0" w:evenHBand="0" w:firstRowFirstColumn="0" w:firstRowLastColumn="0" w:lastRowFirstColumn="0" w:lastRowLastColumn="0"/>
              <w:rPr>
                <w:rFonts w:ascii="Arial" w:hAnsi="Arial" w:cs="Arial"/>
                <w:highlight w:val="magenta"/>
              </w:rPr>
            </w:pPr>
            <w:r w:rsidRPr="00E30028">
              <w:rPr>
                <w:rFonts w:ascii="Arial" w:hAnsi="Arial" w:cs="Arial"/>
              </w:rPr>
              <w:t>1.155</w:t>
            </w:r>
          </w:p>
        </w:tc>
      </w:tr>
      <w:tr w:rsidR="00AE3E4A" w:rsidTr="006F74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79" w:type="dxa"/>
            <w:vAlign w:val="center"/>
          </w:tcPr>
          <w:p w:rsidR="00AE3E4A" w:rsidRPr="00695B7B" w:rsidRDefault="00AE3E4A" w:rsidP="00CD07B6">
            <w:pPr>
              <w:rPr>
                <w:rFonts w:ascii="Arial" w:hAnsi="Arial" w:cs="Arial"/>
                <w:b w:val="0"/>
              </w:rPr>
            </w:pPr>
            <w:r w:rsidRPr="00695B7B">
              <w:rPr>
                <w:rFonts w:ascii="Arial" w:hAnsi="Arial" w:cs="Arial"/>
                <w:b w:val="0"/>
              </w:rPr>
              <w:t>Yuroke</w:t>
            </w:r>
          </w:p>
        </w:tc>
        <w:tc>
          <w:tcPr>
            <w:tcW w:w="1292"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1.784</w:t>
            </w:r>
          </w:p>
        </w:tc>
        <w:tc>
          <w:tcPr>
            <w:tcW w:w="1518" w:type="dxa"/>
            <w:shd w:val="clear" w:color="auto" w:fill="FBD4B4" w:themeFill="accent6" w:themeFillTint="66"/>
            <w:vAlign w:val="center"/>
          </w:tcPr>
          <w:p w:rsidR="00AE3E4A" w:rsidRPr="00B471D1"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471D1">
              <w:rPr>
                <w:rFonts w:ascii="Arial" w:hAnsi="Arial" w:cs="Arial"/>
              </w:rPr>
              <w:t>1.459</w:t>
            </w:r>
          </w:p>
        </w:tc>
        <w:tc>
          <w:tcPr>
            <w:tcW w:w="1201"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1.162</w:t>
            </w:r>
          </w:p>
        </w:tc>
        <w:tc>
          <w:tcPr>
            <w:tcW w:w="1497" w:type="dxa"/>
            <w:vAlign w:val="center"/>
          </w:tcPr>
          <w:p w:rsidR="00AE3E4A" w:rsidRDefault="00AE3E4A"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1.017</w:t>
            </w:r>
          </w:p>
        </w:tc>
        <w:tc>
          <w:tcPr>
            <w:tcW w:w="1855" w:type="dxa"/>
            <w:vAlign w:val="center"/>
          </w:tcPr>
          <w:p w:rsidR="00AE3E4A" w:rsidRDefault="00E30028" w:rsidP="00CD07B6">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1.176</w:t>
            </w:r>
          </w:p>
        </w:tc>
      </w:tr>
    </w:tbl>
    <w:p w:rsidR="00D5363B" w:rsidRDefault="00D5363B" w:rsidP="00D5363B">
      <w:pPr>
        <w:rPr>
          <w:rFonts w:ascii="Arial" w:hAnsi="Arial" w:cs="Arial"/>
          <w:b/>
          <w:sz w:val="20"/>
          <w:szCs w:val="20"/>
        </w:rPr>
      </w:pPr>
      <w:r w:rsidRPr="00A14F9F">
        <w:rPr>
          <w:rFonts w:ascii="Arial" w:hAnsi="Arial" w:cs="Arial"/>
          <w:b/>
          <w:sz w:val="20"/>
          <w:szCs w:val="20"/>
        </w:rPr>
        <w:t xml:space="preserve">Table </w:t>
      </w:r>
      <w:r>
        <w:rPr>
          <w:rFonts w:ascii="Arial" w:hAnsi="Arial" w:cs="Arial"/>
          <w:b/>
          <w:sz w:val="20"/>
          <w:szCs w:val="20"/>
        </w:rPr>
        <w:t>4</w:t>
      </w:r>
      <w:r w:rsidR="00437F33">
        <w:rPr>
          <w:rFonts w:ascii="Arial" w:hAnsi="Arial" w:cs="Arial"/>
          <w:b/>
          <w:sz w:val="20"/>
          <w:szCs w:val="20"/>
        </w:rPr>
        <w:t>.3</w:t>
      </w:r>
      <w:r w:rsidRPr="00A14F9F">
        <w:rPr>
          <w:rFonts w:ascii="Arial" w:hAnsi="Arial" w:cs="Arial"/>
          <w:b/>
          <w:sz w:val="20"/>
          <w:szCs w:val="20"/>
        </w:rPr>
        <w:t xml:space="preserve">: </w:t>
      </w:r>
      <w:r>
        <w:rPr>
          <w:rFonts w:ascii="Arial" w:hAnsi="Arial" w:cs="Arial"/>
          <w:b/>
          <w:sz w:val="20"/>
          <w:szCs w:val="20"/>
        </w:rPr>
        <w:t>Geographic distribution</w:t>
      </w:r>
      <w:r w:rsidRPr="00A14F9F">
        <w:rPr>
          <w:rFonts w:ascii="Arial" w:hAnsi="Arial" w:cs="Arial"/>
          <w:b/>
          <w:sz w:val="20"/>
          <w:szCs w:val="20"/>
        </w:rPr>
        <w:t xml:space="preserve"> of direct enrolments</w:t>
      </w:r>
    </w:p>
    <w:p w:rsidR="00D5363B" w:rsidRDefault="00597F3E" w:rsidP="008F0E33">
      <w:pPr>
        <w:rPr>
          <w:rFonts w:ascii="Arial" w:hAnsi="Arial" w:cs="Arial"/>
        </w:rPr>
      </w:pPr>
      <w:r>
        <w:rPr>
          <w:rFonts w:ascii="Arial" w:hAnsi="Arial" w:cs="Arial"/>
        </w:rPr>
        <w:t xml:space="preserve">The geographic distribution of enrolments is broadly comparable for all groups, with a concentration of enrolment transactions in outer suburbs and a comparative deficit in a block of suburbs on the eastern side of Melbourne. This pattern appears to be related to age distribution, as the band of suburbs in the east has an older, more settled population, while the new growth suburbs </w:t>
      </w:r>
      <w:r w:rsidR="00321FB5">
        <w:rPr>
          <w:rFonts w:ascii="Arial" w:hAnsi="Arial" w:cs="Arial"/>
        </w:rPr>
        <w:t>have a younger age profile.</w:t>
      </w:r>
      <w:r w:rsidR="00031A33">
        <w:rPr>
          <w:rFonts w:ascii="Arial" w:hAnsi="Arial" w:cs="Arial"/>
        </w:rPr>
        <w:t xml:space="preserve"> </w:t>
      </w:r>
      <w:proofErr w:type="gramStart"/>
      <w:r w:rsidR="00031A33">
        <w:rPr>
          <w:rFonts w:ascii="Arial" w:hAnsi="Arial" w:cs="Arial"/>
        </w:rPr>
        <w:t>Country areas, which have an older population, tended to have fewer enrolment transactions than average.</w:t>
      </w:r>
      <w:proofErr w:type="gramEnd"/>
    </w:p>
    <w:p w:rsidR="003279DF" w:rsidRDefault="00321FB5" w:rsidP="008F0E33">
      <w:pPr>
        <w:rPr>
          <w:rFonts w:ascii="Arial" w:hAnsi="Arial" w:cs="Arial"/>
        </w:rPr>
      </w:pPr>
      <w:r>
        <w:rPr>
          <w:rFonts w:ascii="Arial" w:hAnsi="Arial" w:cs="Arial"/>
        </w:rPr>
        <w:t xml:space="preserve">The contrast between the over-represented outer suburbs and the under–represented mid-eastern suburbs </w:t>
      </w:r>
      <w:r w:rsidR="004033F2">
        <w:rPr>
          <w:rFonts w:ascii="Arial" w:hAnsi="Arial" w:cs="Arial"/>
        </w:rPr>
        <w:t>i</w:t>
      </w:r>
      <w:r>
        <w:rPr>
          <w:rFonts w:ascii="Arial" w:hAnsi="Arial" w:cs="Arial"/>
        </w:rPr>
        <w:t xml:space="preserve">s strongest among directly enrolled new enrolments. The direct enrolment program appears to be effective in capturing young new driver licence holders, who live in greater numbers in the new suburbs. </w:t>
      </w:r>
      <w:r w:rsidR="004033F2">
        <w:rPr>
          <w:rFonts w:ascii="Arial" w:hAnsi="Arial" w:cs="Arial"/>
        </w:rPr>
        <w:t xml:space="preserve">The pattern is more muted for new electors as a whole. </w:t>
      </w:r>
    </w:p>
    <w:p w:rsidR="003279DF" w:rsidRDefault="00F06695">
      <w:pPr>
        <w:rPr>
          <w:rFonts w:ascii="Arial" w:hAnsi="Arial" w:cs="Arial"/>
        </w:rPr>
      </w:pPr>
      <w:r>
        <w:rPr>
          <w:rFonts w:ascii="Arial" w:hAnsi="Arial" w:cs="Arial"/>
          <w:noProof/>
          <w:lang w:eastAsia="en-AU"/>
        </w:rPr>
        <w:lastRenderedPageBreak/>
        <w:drawing>
          <wp:anchor distT="0" distB="0" distL="114300" distR="114300" simplePos="0" relativeHeight="251662336" behindDoc="0" locked="0" layoutInCell="1" allowOverlap="1">
            <wp:simplePos x="0" y="0"/>
            <wp:positionH relativeFrom="page">
              <wp:align>center</wp:align>
            </wp:positionH>
            <wp:positionV relativeFrom="paragraph">
              <wp:posOffset>0</wp:posOffset>
            </wp:positionV>
            <wp:extent cx="5731200" cy="7959600"/>
            <wp:effectExtent l="0" t="0" r="3175" b="3810"/>
            <wp:wrapNone/>
            <wp:docPr id="5" name="Picture 5" title="Diagram of directly enrolled new el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ly Enroled new electors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200" cy="7959600"/>
                    </a:xfrm>
                    <a:prstGeom prst="rect">
                      <a:avLst/>
                    </a:prstGeom>
                  </pic:spPr>
                </pic:pic>
              </a:graphicData>
            </a:graphic>
            <wp14:sizeRelH relativeFrom="page">
              <wp14:pctWidth>0</wp14:pctWidth>
            </wp14:sizeRelH>
            <wp14:sizeRelV relativeFrom="page">
              <wp14:pctHeight>0</wp14:pctHeight>
            </wp14:sizeRelV>
          </wp:anchor>
        </w:drawing>
      </w:r>
      <w:r w:rsidR="003279DF">
        <w:rPr>
          <w:rFonts w:ascii="Arial" w:hAnsi="Arial" w:cs="Arial"/>
        </w:rPr>
        <w:br w:type="page"/>
      </w:r>
    </w:p>
    <w:p w:rsidR="00321FB5" w:rsidRDefault="004033F2" w:rsidP="008F0E33">
      <w:pPr>
        <w:rPr>
          <w:rFonts w:ascii="Arial" w:hAnsi="Arial" w:cs="Arial"/>
        </w:rPr>
      </w:pPr>
      <w:r>
        <w:rPr>
          <w:rFonts w:ascii="Arial" w:hAnsi="Arial" w:cs="Arial"/>
        </w:rPr>
        <w:lastRenderedPageBreak/>
        <w:t xml:space="preserve">One difference from those directly enrolled is </w:t>
      </w:r>
      <w:r w:rsidR="000D3739">
        <w:rPr>
          <w:rFonts w:ascii="Arial" w:hAnsi="Arial" w:cs="Arial"/>
        </w:rPr>
        <w:t>that</w:t>
      </w:r>
      <w:r>
        <w:rPr>
          <w:rFonts w:ascii="Arial" w:hAnsi="Arial" w:cs="Arial"/>
        </w:rPr>
        <w:t xml:space="preserve"> new electors </w:t>
      </w:r>
      <w:r w:rsidR="000D3739">
        <w:rPr>
          <w:rFonts w:ascii="Arial" w:hAnsi="Arial" w:cs="Arial"/>
        </w:rPr>
        <w:t xml:space="preserve">as a whole are concentrated </w:t>
      </w:r>
      <w:r>
        <w:rPr>
          <w:rFonts w:ascii="Arial" w:hAnsi="Arial" w:cs="Arial"/>
        </w:rPr>
        <w:t xml:space="preserve">in the inner suburbs (Albert Park, Melbourne, Prahran, </w:t>
      </w:r>
      <w:proofErr w:type="gramStart"/>
      <w:r>
        <w:rPr>
          <w:rFonts w:ascii="Arial" w:hAnsi="Arial" w:cs="Arial"/>
        </w:rPr>
        <w:t>Richmond</w:t>
      </w:r>
      <w:proofErr w:type="gramEnd"/>
      <w:r>
        <w:rPr>
          <w:rFonts w:ascii="Arial" w:hAnsi="Arial" w:cs="Arial"/>
        </w:rPr>
        <w:t>). The inner suburbs have very mobile populations, which would produce a high rate of enrolment transactions. Possibl</w:t>
      </w:r>
      <w:r w:rsidR="00755CB5">
        <w:rPr>
          <w:rFonts w:ascii="Arial" w:hAnsi="Arial" w:cs="Arial"/>
        </w:rPr>
        <w:t>y</w:t>
      </w:r>
      <w:r>
        <w:rPr>
          <w:rFonts w:ascii="Arial" w:hAnsi="Arial" w:cs="Arial"/>
        </w:rPr>
        <w:t xml:space="preserve"> new electors in these suburbs</w:t>
      </w:r>
      <w:r w:rsidR="00FA5047">
        <w:rPr>
          <w:rFonts w:ascii="Arial" w:hAnsi="Arial" w:cs="Arial"/>
        </w:rPr>
        <w:t xml:space="preserve">, which have more public transport options, </w:t>
      </w:r>
      <w:r>
        <w:rPr>
          <w:rFonts w:ascii="Arial" w:hAnsi="Arial" w:cs="Arial"/>
        </w:rPr>
        <w:t xml:space="preserve">are less likely to have driver licences and so are less likely to be detected through the </w:t>
      </w:r>
      <w:r w:rsidR="00755CB5">
        <w:rPr>
          <w:rFonts w:ascii="Arial" w:hAnsi="Arial" w:cs="Arial"/>
        </w:rPr>
        <w:t>V</w:t>
      </w:r>
      <w:r>
        <w:rPr>
          <w:rFonts w:ascii="Arial" w:hAnsi="Arial" w:cs="Arial"/>
        </w:rPr>
        <w:t>EC’s use of the VicRoads database.</w:t>
      </w:r>
      <w:r w:rsidR="000E7DF1">
        <w:rPr>
          <w:rStyle w:val="FootnoteReference"/>
          <w:rFonts w:ascii="Arial" w:hAnsi="Arial" w:cs="Arial"/>
        </w:rPr>
        <w:footnoteReference w:id="7"/>
      </w:r>
    </w:p>
    <w:p w:rsidR="004033F2" w:rsidRDefault="00031A33" w:rsidP="008F0E33">
      <w:pPr>
        <w:rPr>
          <w:rFonts w:ascii="Arial" w:hAnsi="Arial" w:cs="Arial"/>
        </w:rPr>
      </w:pPr>
      <w:r>
        <w:rPr>
          <w:rFonts w:ascii="Arial" w:hAnsi="Arial" w:cs="Arial"/>
        </w:rPr>
        <w:t xml:space="preserve">Turning to electors whose enrolled address has changed, there is little difference between the directly enrolled group and enrolment updates in general. Both groups display a concentration of transactions in the inner suburbs and the urban fringe growth areas, and deviations below the average in the middle band of suburbs. </w:t>
      </w:r>
    </w:p>
    <w:p w:rsidR="00E30028" w:rsidRDefault="00E30028" w:rsidP="008F0E33">
      <w:pPr>
        <w:rPr>
          <w:rFonts w:ascii="Arial" w:hAnsi="Arial" w:cs="Arial"/>
        </w:rPr>
      </w:pPr>
      <w:r>
        <w:rPr>
          <w:rFonts w:ascii="Arial" w:hAnsi="Arial" w:cs="Arial"/>
        </w:rPr>
        <w:t>Reinstated electors are most prevalent in inner Melbourne and in urban/rural fringe districts, and there are relatively few of them in districts with stable populations on the eastern side of the metropolitan area.</w:t>
      </w:r>
    </w:p>
    <w:p w:rsidR="00DB4219" w:rsidRDefault="00DB4219">
      <w:pPr>
        <w:rPr>
          <w:rFonts w:ascii="Arial" w:hAnsi="Arial" w:cs="Arial"/>
        </w:rPr>
      </w:pPr>
      <w:r>
        <w:rPr>
          <w:rFonts w:ascii="Arial" w:hAnsi="Arial" w:cs="Arial"/>
        </w:rPr>
        <w:br w:type="page"/>
      </w:r>
    </w:p>
    <w:p w:rsidR="00DB4219" w:rsidRPr="00FF5D90" w:rsidRDefault="00DB4219" w:rsidP="00DB4219">
      <w:pPr>
        <w:pStyle w:val="Heading2"/>
        <w:rPr>
          <w:rFonts w:ascii="Arial" w:hAnsi="Arial" w:cs="Arial"/>
          <w:color w:val="7D922E"/>
          <w:sz w:val="28"/>
          <w:szCs w:val="28"/>
        </w:rPr>
      </w:pPr>
      <w:bookmarkStart w:id="8" w:name="_Toc491857283"/>
      <w:r w:rsidRPr="00FF5D90">
        <w:rPr>
          <w:rFonts w:ascii="Arial" w:hAnsi="Arial" w:cs="Arial"/>
          <w:color w:val="7D922E"/>
          <w:sz w:val="28"/>
          <w:szCs w:val="28"/>
        </w:rPr>
        <w:lastRenderedPageBreak/>
        <w:t>3. Directly enrolled electors and voting</w:t>
      </w:r>
      <w:bookmarkEnd w:id="8"/>
    </w:p>
    <w:p w:rsidR="00031A33" w:rsidRDefault="00DF762D" w:rsidP="008F0E33">
      <w:pPr>
        <w:rPr>
          <w:rFonts w:ascii="Arial" w:hAnsi="Arial" w:cs="Arial"/>
        </w:rPr>
      </w:pPr>
      <w:r>
        <w:rPr>
          <w:rFonts w:ascii="Arial" w:hAnsi="Arial" w:cs="Arial"/>
        </w:rPr>
        <w:t xml:space="preserve">At the time of the introduction of direct enrolment, there was some speculation that it would simply shift the problem of non-participation from enrolment to voting – that a large contingent of those who had hitherto stayed unenrolled would be conscripted onto the roll, but would then not vote. </w:t>
      </w:r>
      <w:r w:rsidR="00B54FEC">
        <w:rPr>
          <w:rFonts w:ascii="Arial" w:hAnsi="Arial" w:cs="Arial"/>
        </w:rPr>
        <w:t>Peter Brent has argued that this is already occurring, as shown by low voter turnout at the 2016 Federal election.</w:t>
      </w:r>
      <w:r w:rsidR="00B54FEC">
        <w:rPr>
          <w:rStyle w:val="FootnoteReference"/>
          <w:rFonts w:ascii="Arial" w:hAnsi="Arial" w:cs="Arial"/>
        </w:rPr>
        <w:footnoteReference w:id="8"/>
      </w:r>
      <w:r w:rsidR="00B54FEC">
        <w:rPr>
          <w:rFonts w:ascii="Arial" w:hAnsi="Arial" w:cs="Arial"/>
        </w:rPr>
        <w:t xml:space="preserve"> Statistics from the 2014 Victorian State election provide an opportunity to test this hypothesis.</w:t>
      </w:r>
    </w:p>
    <w:p w:rsidR="00853342" w:rsidRPr="00FF5D90" w:rsidRDefault="00853342" w:rsidP="00853342">
      <w:pPr>
        <w:pStyle w:val="Heading3"/>
        <w:rPr>
          <w:rFonts w:ascii="Arial" w:hAnsi="Arial" w:cs="Arial"/>
          <w:color w:val="7D922E"/>
          <w:sz w:val="24"/>
          <w:szCs w:val="24"/>
        </w:rPr>
      </w:pPr>
      <w:bookmarkStart w:id="9" w:name="_Toc491857284"/>
      <w:r w:rsidRPr="00FF5D90">
        <w:rPr>
          <w:rFonts w:ascii="Arial" w:hAnsi="Arial" w:cs="Arial"/>
          <w:color w:val="7D922E"/>
          <w:sz w:val="24"/>
          <w:szCs w:val="24"/>
        </w:rPr>
        <w:t>Overall numbers</w:t>
      </w:r>
      <w:bookmarkEnd w:id="9"/>
    </w:p>
    <w:p w:rsidR="00B54FEC" w:rsidRDefault="00B54FEC" w:rsidP="008F0E33">
      <w:pPr>
        <w:rPr>
          <w:rFonts w:ascii="Arial" w:hAnsi="Arial" w:cs="Arial"/>
        </w:rPr>
      </w:pPr>
      <w:r>
        <w:rPr>
          <w:rFonts w:ascii="Arial" w:hAnsi="Arial" w:cs="Arial"/>
        </w:rPr>
        <w:t xml:space="preserve">In 2014 there were relatively few directly enrolled electors. </w:t>
      </w:r>
      <w:r w:rsidR="00276E32">
        <w:rPr>
          <w:rFonts w:ascii="Arial" w:hAnsi="Arial" w:cs="Arial"/>
        </w:rPr>
        <w:t xml:space="preserve">Only 35,687 electors were new to the roll, compared to 63,915 directly enrolled new electors by mid-2016. The number of electors whose address had been updated was much larger (306,988 in 2014), but had more than doubled (to 693,961) </w:t>
      </w:r>
      <w:r w:rsidR="000E712E">
        <w:rPr>
          <w:rFonts w:ascii="Arial" w:hAnsi="Arial" w:cs="Arial"/>
        </w:rPr>
        <w:t>by 30 June 2016.</w:t>
      </w:r>
      <w:r w:rsidR="00975469">
        <w:rPr>
          <w:rFonts w:ascii="Arial" w:hAnsi="Arial" w:cs="Arial"/>
        </w:rPr>
        <w:t xml:space="preserve"> There were 27,693 reinstated electors, comprising less than a tenth of the electors whose address had been updated</w:t>
      </w:r>
    </w:p>
    <w:p w:rsidR="000E712E" w:rsidRDefault="000E712E" w:rsidP="008F0E33">
      <w:pPr>
        <w:rPr>
          <w:rFonts w:ascii="Arial" w:hAnsi="Arial" w:cs="Arial"/>
        </w:rPr>
      </w:pPr>
      <w:r>
        <w:rPr>
          <w:rFonts w:ascii="Arial" w:hAnsi="Arial" w:cs="Arial"/>
        </w:rPr>
        <w:t>Table 5 shows voter turnout by these groups in 2014, and compares it to total voter turnout.</w:t>
      </w:r>
    </w:p>
    <w:tbl>
      <w:tblPr>
        <w:tblStyle w:val="LightList-Accent3"/>
        <w:tblW w:w="0" w:type="auto"/>
        <w:tblLook w:val="04A0" w:firstRow="1" w:lastRow="0" w:firstColumn="1" w:lastColumn="0" w:noHBand="0" w:noVBand="1"/>
        <w:tblCaption w:val="Table 5: voter turnout by directly enrolled electors, 2014 State election"/>
      </w:tblPr>
      <w:tblGrid>
        <w:gridCol w:w="4621"/>
        <w:gridCol w:w="4621"/>
      </w:tblGrid>
      <w:tr w:rsidR="000E712E" w:rsidRPr="00E22FE9" w:rsidTr="00B471D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21" w:type="dxa"/>
            <w:vAlign w:val="center"/>
          </w:tcPr>
          <w:p w:rsidR="000E712E" w:rsidRPr="00E22FE9" w:rsidRDefault="000E712E" w:rsidP="00B471D1">
            <w:pPr>
              <w:rPr>
                <w:rFonts w:ascii="Arial" w:hAnsi="Arial" w:cs="Arial"/>
              </w:rPr>
            </w:pPr>
            <w:r w:rsidRPr="00E22FE9">
              <w:rPr>
                <w:rFonts w:ascii="Arial" w:hAnsi="Arial" w:cs="Arial"/>
              </w:rPr>
              <w:t>Group of voters</w:t>
            </w:r>
          </w:p>
        </w:tc>
        <w:tc>
          <w:tcPr>
            <w:tcW w:w="4621" w:type="dxa"/>
            <w:vAlign w:val="center"/>
          </w:tcPr>
          <w:p w:rsidR="000E712E" w:rsidRPr="00E22FE9" w:rsidRDefault="000E712E" w:rsidP="00B471D1">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Voter turnout rate</w:t>
            </w:r>
          </w:p>
        </w:tc>
      </w:tr>
      <w:tr w:rsidR="000E712E"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0E712E" w:rsidRPr="00E22FE9" w:rsidRDefault="000E712E" w:rsidP="00E22FE9">
            <w:pPr>
              <w:rPr>
                <w:rFonts w:ascii="Arial" w:hAnsi="Arial" w:cs="Arial"/>
                <w:b w:val="0"/>
              </w:rPr>
            </w:pPr>
            <w:r w:rsidRPr="00E22FE9">
              <w:rPr>
                <w:rFonts w:ascii="Arial" w:hAnsi="Arial" w:cs="Arial"/>
                <w:b w:val="0"/>
              </w:rPr>
              <w:t>Dir</w:t>
            </w:r>
            <w:r w:rsidR="00E22FE9" w:rsidRPr="00E22FE9">
              <w:rPr>
                <w:rFonts w:ascii="Arial" w:hAnsi="Arial" w:cs="Arial"/>
                <w:b w:val="0"/>
              </w:rPr>
              <w:t>ectly enrolled – new enrolments</w:t>
            </w:r>
          </w:p>
        </w:tc>
        <w:tc>
          <w:tcPr>
            <w:tcW w:w="4621" w:type="dxa"/>
            <w:vAlign w:val="center"/>
          </w:tcPr>
          <w:p w:rsidR="000E712E" w:rsidRDefault="000E712E"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61.73%</w:t>
            </w:r>
          </w:p>
        </w:tc>
      </w:tr>
      <w:tr w:rsidR="000E712E" w:rsidTr="00E22FE9">
        <w:trPr>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0E712E" w:rsidRPr="00E22FE9" w:rsidRDefault="000E712E" w:rsidP="00E22FE9">
            <w:pPr>
              <w:rPr>
                <w:rFonts w:ascii="Arial" w:hAnsi="Arial" w:cs="Arial"/>
                <w:b w:val="0"/>
              </w:rPr>
            </w:pPr>
            <w:r w:rsidRPr="00E22FE9">
              <w:rPr>
                <w:rFonts w:ascii="Arial" w:hAnsi="Arial" w:cs="Arial"/>
                <w:b w:val="0"/>
              </w:rPr>
              <w:t xml:space="preserve">Directly </w:t>
            </w:r>
            <w:r w:rsidR="00E22FE9" w:rsidRPr="00E22FE9">
              <w:rPr>
                <w:rFonts w:ascii="Arial" w:hAnsi="Arial" w:cs="Arial"/>
                <w:b w:val="0"/>
              </w:rPr>
              <w:t>enrolled – address updates</w:t>
            </w:r>
          </w:p>
        </w:tc>
        <w:tc>
          <w:tcPr>
            <w:tcW w:w="4621" w:type="dxa"/>
            <w:vAlign w:val="center"/>
          </w:tcPr>
          <w:p w:rsidR="000E712E" w:rsidRDefault="000E712E"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84.98%</w:t>
            </w:r>
          </w:p>
        </w:tc>
      </w:tr>
      <w:tr w:rsidR="00975469"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975469" w:rsidRPr="00E22FE9" w:rsidRDefault="00E22FE9" w:rsidP="00E22FE9">
            <w:pPr>
              <w:rPr>
                <w:rFonts w:ascii="Arial" w:hAnsi="Arial" w:cs="Arial"/>
                <w:b w:val="0"/>
              </w:rPr>
            </w:pPr>
            <w:r w:rsidRPr="00E22FE9">
              <w:rPr>
                <w:rFonts w:ascii="Arial" w:hAnsi="Arial" w:cs="Arial"/>
                <w:b w:val="0"/>
              </w:rPr>
              <w:t>Directly enrolled – reinstated</w:t>
            </w:r>
          </w:p>
        </w:tc>
        <w:tc>
          <w:tcPr>
            <w:tcW w:w="4621" w:type="dxa"/>
            <w:vAlign w:val="center"/>
          </w:tcPr>
          <w:p w:rsidR="00975469" w:rsidRDefault="00975469"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55.97%</w:t>
            </w:r>
          </w:p>
        </w:tc>
      </w:tr>
      <w:tr w:rsidR="000E712E" w:rsidTr="00E22FE9">
        <w:trPr>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0E712E" w:rsidRPr="00E22FE9" w:rsidRDefault="00E22FE9" w:rsidP="00E22FE9">
            <w:pPr>
              <w:rPr>
                <w:rFonts w:ascii="Arial" w:hAnsi="Arial" w:cs="Arial"/>
                <w:b w:val="0"/>
              </w:rPr>
            </w:pPr>
            <w:r w:rsidRPr="00E22FE9">
              <w:rPr>
                <w:rFonts w:ascii="Arial" w:hAnsi="Arial" w:cs="Arial"/>
                <w:b w:val="0"/>
              </w:rPr>
              <w:t>Total voters</w:t>
            </w:r>
          </w:p>
        </w:tc>
        <w:tc>
          <w:tcPr>
            <w:tcW w:w="4621" w:type="dxa"/>
            <w:vAlign w:val="center"/>
          </w:tcPr>
          <w:p w:rsidR="000E712E" w:rsidRDefault="000D4F61"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93.01</w:t>
            </w:r>
            <w:r w:rsidR="009A711E">
              <w:rPr>
                <w:rFonts w:ascii="Arial" w:hAnsi="Arial" w:cs="Arial"/>
              </w:rPr>
              <w:t>%</w:t>
            </w:r>
          </w:p>
        </w:tc>
      </w:tr>
    </w:tbl>
    <w:p w:rsidR="000E712E" w:rsidRDefault="009A711E" w:rsidP="008F0E33">
      <w:pPr>
        <w:rPr>
          <w:rFonts w:ascii="Arial" w:hAnsi="Arial" w:cs="Arial"/>
          <w:b/>
          <w:sz w:val="20"/>
          <w:szCs w:val="20"/>
        </w:rPr>
      </w:pPr>
      <w:r w:rsidRPr="00A14F9F">
        <w:rPr>
          <w:rFonts w:ascii="Arial" w:hAnsi="Arial" w:cs="Arial"/>
          <w:b/>
          <w:sz w:val="20"/>
          <w:szCs w:val="20"/>
        </w:rPr>
        <w:t xml:space="preserve">Table </w:t>
      </w:r>
      <w:r>
        <w:rPr>
          <w:rFonts w:ascii="Arial" w:hAnsi="Arial" w:cs="Arial"/>
          <w:b/>
          <w:sz w:val="20"/>
          <w:szCs w:val="20"/>
        </w:rPr>
        <w:t>5</w:t>
      </w:r>
      <w:r w:rsidRPr="00A14F9F">
        <w:rPr>
          <w:rFonts w:ascii="Arial" w:hAnsi="Arial" w:cs="Arial"/>
          <w:b/>
          <w:sz w:val="20"/>
          <w:szCs w:val="20"/>
        </w:rPr>
        <w:t xml:space="preserve">: </w:t>
      </w:r>
      <w:r>
        <w:rPr>
          <w:rFonts w:ascii="Arial" w:hAnsi="Arial" w:cs="Arial"/>
          <w:b/>
          <w:sz w:val="20"/>
          <w:szCs w:val="20"/>
        </w:rPr>
        <w:t>Voter turnout by directly enrolled electors, 2014 State election</w:t>
      </w:r>
    </w:p>
    <w:p w:rsidR="009A711E" w:rsidRDefault="009A711E" w:rsidP="008F0E33">
      <w:pPr>
        <w:rPr>
          <w:rFonts w:ascii="Arial" w:hAnsi="Arial" w:cs="Arial"/>
        </w:rPr>
      </w:pPr>
      <w:r>
        <w:rPr>
          <w:rFonts w:ascii="Arial" w:hAnsi="Arial" w:cs="Arial"/>
        </w:rPr>
        <w:t xml:space="preserve">Voter turnout by directly enrolled new electors was only two-thirds that of Victorians as a whole. </w:t>
      </w:r>
      <w:r w:rsidR="00610C13">
        <w:rPr>
          <w:rFonts w:ascii="Arial" w:hAnsi="Arial" w:cs="Arial"/>
        </w:rPr>
        <w:t xml:space="preserve">Voter turnout by reinstated electors was even lower than that by new electors. </w:t>
      </w:r>
      <w:r>
        <w:rPr>
          <w:rFonts w:ascii="Arial" w:hAnsi="Arial" w:cs="Arial"/>
        </w:rPr>
        <w:t>Electors whose enrolment had been updated by the VEC were more inclined to vote, but their participation rate was still lower than that for all voters.</w:t>
      </w:r>
      <w:r w:rsidR="00610C13">
        <w:rPr>
          <w:rStyle w:val="FootnoteReference"/>
          <w:rFonts w:ascii="Arial" w:hAnsi="Arial" w:cs="Arial"/>
        </w:rPr>
        <w:footnoteReference w:id="9"/>
      </w:r>
      <w:r>
        <w:rPr>
          <w:rFonts w:ascii="Arial" w:hAnsi="Arial" w:cs="Arial"/>
        </w:rPr>
        <w:t xml:space="preserve"> </w:t>
      </w:r>
      <w:r w:rsidR="000D4F61">
        <w:rPr>
          <w:rFonts w:ascii="Arial" w:hAnsi="Arial" w:cs="Arial"/>
        </w:rPr>
        <w:t xml:space="preserve">These figures suggest that the above theory is correct, and that lower voting rates by directly enrolled electors will tend to depress the overall figure. In fact, the State’s turnout rate in 2014 increased </w:t>
      </w:r>
      <w:r w:rsidR="00853342">
        <w:rPr>
          <w:rFonts w:ascii="Arial" w:hAnsi="Arial" w:cs="Arial"/>
        </w:rPr>
        <w:t>marginally (</w:t>
      </w:r>
      <w:r w:rsidR="000D4F61">
        <w:rPr>
          <w:rFonts w:ascii="Arial" w:hAnsi="Arial" w:cs="Arial"/>
        </w:rPr>
        <w:t>by 0.05 percentage points</w:t>
      </w:r>
      <w:r w:rsidR="00853342">
        <w:rPr>
          <w:rFonts w:ascii="Arial" w:hAnsi="Arial" w:cs="Arial"/>
        </w:rPr>
        <w:t>)</w:t>
      </w:r>
      <w:r w:rsidR="000D4F61">
        <w:rPr>
          <w:rFonts w:ascii="Arial" w:hAnsi="Arial" w:cs="Arial"/>
        </w:rPr>
        <w:t xml:space="preserve"> from that in 2010. In 2014</w:t>
      </w:r>
      <w:r w:rsidR="00622207">
        <w:rPr>
          <w:rFonts w:ascii="Arial" w:hAnsi="Arial" w:cs="Arial"/>
        </w:rPr>
        <w:t>,</w:t>
      </w:r>
      <w:r w:rsidR="000D4F61">
        <w:rPr>
          <w:rFonts w:ascii="Arial" w:hAnsi="Arial" w:cs="Arial"/>
        </w:rPr>
        <w:t xml:space="preserve"> directly enrolled new electors </w:t>
      </w:r>
      <w:r w:rsidR="00975469">
        <w:rPr>
          <w:rFonts w:ascii="Arial" w:hAnsi="Arial" w:cs="Arial"/>
        </w:rPr>
        <w:t xml:space="preserve">plus reinstated electors </w:t>
      </w:r>
      <w:r w:rsidR="000D4F61">
        <w:rPr>
          <w:rFonts w:ascii="Arial" w:hAnsi="Arial" w:cs="Arial"/>
        </w:rPr>
        <w:t xml:space="preserve">comprised </w:t>
      </w:r>
      <w:r w:rsidR="004F6D7F">
        <w:rPr>
          <w:rFonts w:ascii="Arial" w:hAnsi="Arial" w:cs="Arial"/>
        </w:rPr>
        <w:t>only</w:t>
      </w:r>
      <w:r w:rsidR="000D4F61">
        <w:rPr>
          <w:rFonts w:ascii="Arial" w:hAnsi="Arial" w:cs="Arial"/>
        </w:rPr>
        <w:t xml:space="preserve"> 1</w:t>
      </w:r>
      <w:r w:rsidR="00A31754">
        <w:rPr>
          <w:rFonts w:ascii="Arial" w:hAnsi="Arial" w:cs="Arial"/>
        </w:rPr>
        <w:t>.67</w:t>
      </w:r>
      <w:r w:rsidR="000D4F61">
        <w:rPr>
          <w:rFonts w:ascii="Arial" w:hAnsi="Arial" w:cs="Arial"/>
        </w:rPr>
        <w:t xml:space="preserve">% of the total – not enough to have a significant effect on the overall figure. </w:t>
      </w:r>
    </w:p>
    <w:p w:rsidR="008E7CA4" w:rsidRPr="00FF5D90" w:rsidRDefault="008E7CA4" w:rsidP="008E7CA4">
      <w:pPr>
        <w:pStyle w:val="Heading3"/>
        <w:rPr>
          <w:rFonts w:ascii="Arial" w:hAnsi="Arial" w:cs="Arial"/>
          <w:color w:val="7D922E"/>
          <w:sz w:val="24"/>
          <w:szCs w:val="24"/>
        </w:rPr>
      </w:pPr>
      <w:bookmarkStart w:id="10" w:name="_Toc491857285"/>
      <w:r w:rsidRPr="00FF5D90">
        <w:rPr>
          <w:rFonts w:ascii="Arial" w:hAnsi="Arial" w:cs="Arial"/>
          <w:color w:val="7D922E"/>
          <w:sz w:val="24"/>
          <w:szCs w:val="24"/>
        </w:rPr>
        <w:t>Gender</w:t>
      </w:r>
      <w:bookmarkEnd w:id="10"/>
    </w:p>
    <w:p w:rsidR="008E7CA4" w:rsidRDefault="008E7CA4" w:rsidP="008E7CA4">
      <w:pPr>
        <w:rPr>
          <w:rFonts w:ascii="Arial" w:hAnsi="Arial" w:cs="Arial"/>
        </w:rPr>
      </w:pPr>
      <w:r w:rsidRPr="00BA7472">
        <w:rPr>
          <w:rFonts w:ascii="Arial" w:hAnsi="Arial" w:cs="Arial"/>
        </w:rPr>
        <w:t xml:space="preserve">Table </w:t>
      </w:r>
      <w:r>
        <w:rPr>
          <w:rFonts w:ascii="Arial" w:hAnsi="Arial" w:cs="Arial"/>
        </w:rPr>
        <w:t>6</w:t>
      </w:r>
      <w:r w:rsidRPr="00BA7472">
        <w:rPr>
          <w:rFonts w:ascii="Arial" w:hAnsi="Arial" w:cs="Arial"/>
        </w:rPr>
        <w:t xml:space="preserve"> shows </w:t>
      </w:r>
      <w:r w:rsidR="00C542B6">
        <w:rPr>
          <w:rFonts w:ascii="Arial" w:hAnsi="Arial" w:cs="Arial"/>
        </w:rPr>
        <w:t xml:space="preserve">voter turnout </w:t>
      </w:r>
      <w:r>
        <w:rPr>
          <w:rFonts w:ascii="Arial" w:hAnsi="Arial" w:cs="Arial"/>
        </w:rPr>
        <w:t>of directly enrolled voters</w:t>
      </w:r>
      <w:r w:rsidR="00C542B6">
        <w:rPr>
          <w:rFonts w:ascii="Arial" w:hAnsi="Arial" w:cs="Arial"/>
        </w:rPr>
        <w:t xml:space="preserve"> by gender</w:t>
      </w:r>
      <w:r>
        <w:rPr>
          <w:rFonts w:ascii="Arial" w:hAnsi="Arial" w:cs="Arial"/>
        </w:rPr>
        <w:t>.</w:t>
      </w:r>
    </w:p>
    <w:tbl>
      <w:tblPr>
        <w:tblStyle w:val="LightList-Accent3"/>
        <w:tblW w:w="0" w:type="auto"/>
        <w:tblLook w:val="04A0" w:firstRow="1" w:lastRow="0" w:firstColumn="1" w:lastColumn="0" w:noHBand="0" w:noVBand="1"/>
        <w:tblCaption w:val="Table 6: voter turnout of directly enrolled electors by gender, 2014 State election"/>
      </w:tblPr>
      <w:tblGrid>
        <w:gridCol w:w="2330"/>
        <w:gridCol w:w="2480"/>
        <w:gridCol w:w="2375"/>
        <w:gridCol w:w="2057"/>
      </w:tblGrid>
      <w:tr w:rsidR="00A31754" w:rsidRPr="00E22FE9" w:rsidTr="00B471D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30" w:type="dxa"/>
            <w:vAlign w:val="center"/>
          </w:tcPr>
          <w:p w:rsidR="00A31754" w:rsidRPr="00E22FE9" w:rsidRDefault="00A31754" w:rsidP="00B471D1">
            <w:pPr>
              <w:jc w:val="center"/>
              <w:rPr>
                <w:rFonts w:ascii="Arial" w:hAnsi="Arial" w:cs="Arial"/>
              </w:rPr>
            </w:pPr>
            <w:r w:rsidRPr="00E22FE9">
              <w:rPr>
                <w:rFonts w:ascii="Arial" w:hAnsi="Arial" w:cs="Arial"/>
              </w:rPr>
              <w:t>Gender</w:t>
            </w:r>
          </w:p>
        </w:tc>
        <w:tc>
          <w:tcPr>
            <w:tcW w:w="2480" w:type="dxa"/>
            <w:vAlign w:val="center"/>
          </w:tcPr>
          <w:p w:rsidR="00A31754" w:rsidRPr="00E22FE9" w:rsidRDefault="00A31754" w:rsidP="00B471D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New enrolments</w:t>
            </w:r>
          </w:p>
        </w:tc>
        <w:tc>
          <w:tcPr>
            <w:tcW w:w="2375" w:type="dxa"/>
            <w:vAlign w:val="center"/>
          </w:tcPr>
          <w:p w:rsidR="00A31754" w:rsidRPr="00E22FE9" w:rsidRDefault="00A31754" w:rsidP="00B471D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Address changes</w:t>
            </w:r>
          </w:p>
        </w:tc>
        <w:tc>
          <w:tcPr>
            <w:tcW w:w="2057" w:type="dxa"/>
            <w:vAlign w:val="center"/>
          </w:tcPr>
          <w:p w:rsidR="00A31754" w:rsidRPr="00E22FE9" w:rsidRDefault="00A31754" w:rsidP="00B471D1">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Reinstatements</w:t>
            </w:r>
          </w:p>
        </w:tc>
      </w:tr>
      <w:tr w:rsidR="00A31754"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330" w:type="dxa"/>
            <w:vAlign w:val="center"/>
          </w:tcPr>
          <w:p w:rsidR="00A31754" w:rsidRPr="00E22FE9" w:rsidRDefault="00E22FE9" w:rsidP="00E22FE9">
            <w:pPr>
              <w:jc w:val="center"/>
              <w:rPr>
                <w:rFonts w:ascii="Arial" w:hAnsi="Arial" w:cs="Arial"/>
                <w:b w:val="0"/>
              </w:rPr>
            </w:pPr>
            <w:r>
              <w:rPr>
                <w:rFonts w:ascii="Arial" w:hAnsi="Arial" w:cs="Arial"/>
                <w:b w:val="0"/>
              </w:rPr>
              <w:t>Male</w:t>
            </w:r>
          </w:p>
        </w:tc>
        <w:tc>
          <w:tcPr>
            <w:tcW w:w="2480"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58.73%</w:t>
            </w:r>
          </w:p>
        </w:tc>
        <w:tc>
          <w:tcPr>
            <w:tcW w:w="2375"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82.91%</w:t>
            </w:r>
          </w:p>
        </w:tc>
        <w:tc>
          <w:tcPr>
            <w:tcW w:w="2057"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54.27%</w:t>
            </w:r>
          </w:p>
        </w:tc>
      </w:tr>
      <w:tr w:rsidR="00A31754" w:rsidTr="00E22FE9">
        <w:trPr>
          <w:trHeight w:val="397"/>
        </w:trPr>
        <w:tc>
          <w:tcPr>
            <w:cnfStyle w:val="001000000000" w:firstRow="0" w:lastRow="0" w:firstColumn="1" w:lastColumn="0" w:oddVBand="0" w:evenVBand="0" w:oddHBand="0" w:evenHBand="0" w:firstRowFirstColumn="0" w:firstRowLastColumn="0" w:lastRowFirstColumn="0" w:lastRowLastColumn="0"/>
            <w:tcW w:w="2330" w:type="dxa"/>
            <w:vAlign w:val="center"/>
          </w:tcPr>
          <w:p w:rsidR="00A31754" w:rsidRPr="00E22FE9" w:rsidRDefault="00E22FE9" w:rsidP="00E22FE9">
            <w:pPr>
              <w:jc w:val="center"/>
              <w:rPr>
                <w:rFonts w:ascii="Arial" w:hAnsi="Arial" w:cs="Arial"/>
                <w:b w:val="0"/>
              </w:rPr>
            </w:pPr>
            <w:r>
              <w:rPr>
                <w:rFonts w:ascii="Arial" w:hAnsi="Arial" w:cs="Arial"/>
                <w:b w:val="0"/>
              </w:rPr>
              <w:t>Female</w:t>
            </w:r>
          </w:p>
        </w:tc>
        <w:tc>
          <w:tcPr>
            <w:tcW w:w="2480"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65.65%</w:t>
            </w:r>
          </w:p>
        </w:tc>
        <w:tc>
          <w:tcPr>
            <w:tcW w:w="2375"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87.21%</w:t>
            </w:r>
          </w:p>
        </w:tc>
        <w:tc>
          <w:tcPr>
            <w:tcW w:w="2057"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58.82%</w:t>
            </w:r>
          </w:p>
        </w:tc>
      </w:tr>
    </w:tbl>
    <w:p w:rsidR="00C542B6" w:rsidRDefault="00C542B6" w:rsidP="00C542B6">
      <w:pPr>
        <w:rPr>
          <w:rFonts w:ascii="Arial" w:hAnsi="Arial" w:cs="Arial"/>
          <w:b/>
          <w:sz w:val="20"/>
          <w:szCs w:val="20"/>
        </w:rPr>
      </w:pPr>
      <w:r w:rsidRPr="00A14F9F">
        <w:rPr>
          <w:rFonts w:ascii="Arial" w:hAnsi="Arial" w:cs="Arial"/>
          <w:b/>
          <w:sz w:val="20"/>
          <w:szCs w:val="20"/>
        </w:rPr>
        <w:t xml:space="preserve">Table </w:t>
      </w:r>
      <w:r>
        <w:rPr>
          <w:rFonts w:ascii="Arial" w:hAnsi="Arial" w:cs="Arial"/>
          <w:b/>
          <w:sz w:val="20"/>
          <w:szCs w:val="20"/>
        </w:rPr>
        <w:t>6</w:t>
      </w:r>
      <w:r w:rsidRPr="00A14F9F">
        <w:rPr>
          <w:rFonts w:ascii="Arial" w:hAnsi="Arial" w:cs="Arial"/>
          <w:b/>
          <w:sz w:val="20"/>
          <w:szCs w:val="20"/>
        </w:rPr>
        <w:t xml:space="preserve">: </w:t>
      </w:r>
      <w:r>
        <w:rPr>
          <w:rFonts w:ascii="Arial" w:hAnsi="Arial" w:cs="Arial"/>
          <w:b/>
          <w:sz w:val="20"/>
          <w:szCs w:val="20"/>
        </w:rPr>
        <w:t>Voter turnout of directly enrolled electors by gender, 2014 State election</w:t>
      </w:r>
    </w:p>
    <w:p w:rsidR="000D4F61" w:rsidRDefault="002D4BA2" w:rsidP="008F0E33">
      <w:pPr>
        <w:rPr>
          <w:rFonts w:ascii="Arial" w:hAnsi="Arial" w:cs="Arial"/>
        </w:rPr>
      </w:pPr>
      <w:r>
        <w:rPr>
          <w:rFonts w:ascii="Arial" w:hAnsi="Arial" w:cs="Arial"/>
        </w:rPr>
        <w:lastRenderedPageBreak/>
        <w:t xml:space="preserve">Male voter turnout was lower than that of their female counterpart. </w:t>
      </w:r>
      <w:r w:rsidR="00622207">
        <w:rPr>
          <w:rFonts w:ascii="Arial" w:hAnsi="Arial" w:cs="Arial"/>
        </w:rPr>
        <w:t xml:space="preserve">As </w:t>
      </w:r>
      <w:r>
        <w:rPr>
          <w:rFonts w:ascii="Arial" w:hAnsi="Arial" w:cs="Arial"/>
        </w:rPr>
        <w:t>a majority of directly enrolled electors</w:t>
      </w:r>
      <w:r w:rsidR="00622207">
        <w:rPr>
          <w:rFonts w:ascii="Arial" w:hAnsi="Arial" w:cs="Arial"/>
        </w:rPr>
        <w:t>, males</w:t>
      </w:r>
      <w:r>
        <w:rPr>
          <w:rFonts w:ascii="Arial" w:hAnsi="Arial" w:cs="Arial"/>
        </w:rPr>
        <w:t xml:space="preserve">’ relative disinclination to vote </w:t>
      </w:r>
      <w:r w:rsidR="00622207">
        <w:rPr>
          <w:rFonts w:ascii="Arial" w:hAnsi="Arial" w:cs="Arial"/>
        </w:rPr>
        <w:t xml:space="preserve">further </w:t>
      </w:r>
      <w:r>
        <w:rPr>
          <w:rFonts w:ascii="Arial" w:hAnsi="Arial" w:cs="Arial"/>
        </w:rPr>
        <w:t xml:space="preserve">depressed </w:t>
      </w:r>
      <w:r w:rsidR="00622207">
        <w:rPr>
          <w:rFonts w:ascii="Arial" w:hAnsi="Arial" w:cs="Arial"/>
        </w:rPr>
        <w:t xml:space="preserve">voter turnout by </w:t>
      </w:r>
      <w:r>
        <w:rPr>
          <w:rFonts w:ascii="Arial" w:hAnsi="Arial" w:cs="Arial"/>
        </w:rPr>
        <w:t>directly enrolled electors</w:t>
      </w:r>
      <w:r w:rsidR="00622207">
        <w:rPr>
          <w:rFonts w:ascii="Arial" w:hAnsi="Arial" w:cs="Arial"/>
        </w:rPr>
        <w:t xml:space="preserve"> as a whole.</w:t>
      </w:r>
    </w:p>
    <w:p w:rsidR="00FF3632" w:rsidRPr="00FF5D90" w:rsidRDefault="00FF3632" w:rsidP="00FF3632">
      <w:pPr>
        <w:pStyle w:val="Heading3"/>
        <w:rPr>
          <w:rFonts w:ascii="Arial" w:hAnsi="Arial" w:cs="Arial"/>
          <w:color w:val="7D922E"/>
          <w:sz w:val="24"/>
          <w:szCs w:val="24"/>
        </w:rPr>
      </w:pPr>
      <w:bookmarkStart w:id="11" w:name="_Toc491857286"/>
      <w:r w:rsidRPr="00FF5D90">
        <w:rPr>
          <w:rFonts w:ascii="Arial" w:hAnsi="Arial" w:cs="Arial"/>
          <w:color w:val="7D922E"/>
          <w:sz w:val="24"/>
          <w:szCs w:val="24"/>
        </w:rPr>
        <w:t>Age groups</w:t>
      </w:r>
      <w:bookmarkEnd w:id="11"/>
    </w:p>
    <w:p w:rsidR="00FF3632" w:rsidRDefault="00190547" w:rsidP="00FF3632">
      <w:pPr>
        <w:rPr>
          <w:rFonts w:ascii="Arial" w:hAnsi="Arial" w:cs="Arial"/>
        </w:rPr>
      </w:pPr>
      <w:r>
        <w:rPr>
          <w:rFonts w:ascii="Arial" w:hAnsi="Arial" w:cs="Arial"/>
        </w:rPr>
        <w:t xml:space="preserve">Directly enrolled electors tend to be younger than electors in general, and this younger age profile is a factor contributing to lower voter turnout by those directly enrolled. </w:t>
      </w:r>
      <w:r w:rsidR="00FF3632" w:rsidRPr="00BA7472">
        <w:rPr>
          <w:rFonts w:ascii="Arial" w:hAnsi="Arial" w:cs="Arial"/>
        </w:rPr>
        <w:t xml:space="preserve">Table </w:t>
      </w:r>
      <w:r>
        <w:rPr>
          <w:rFonts w:ascii="Arial" w:hAnsi="Arial" w:cs="Arial"/>
        </w:rPr>
        <w:t>7</w:t>
      </w:r>
      <w:r w:rsidR="00FF3632" w:rsidRPr="00BA7472">
        <w:rPr>
          <w:rFonts w:ascii="Arial" w:hAnsi="Arial" w:cs="Arial"/>
        </w:rPr>
        <w:t xml:space="preserve"> shows </w:t>
      </w:r>
      <w:r>
        <w:rPr>
          <w:rFonts w:ascii="Arial" w:hAnsi="Arial" w:cs="Arial"/>
        </w:rPr>
        <w:t>voter turnout by age group, comparing directly enrolled electors with all voters</w:t>
      </w:r>
      <w:r w:rsidR="00FF3632">
        <w:rPr>
          <w:rFonts w:ascii="Arial" w:hAnsi="Arial" w:cs="Arial"/>
        </w:rPr>
        <w:t>.</w:t>
      </w:r>
    </w:p>
    <w:tbl>
      <w:tblPr>
        <w:tblStyle w:val="LightList-Accent3"/>
        <w:tblW w:w="0" w:type="auto"/>
        <w:tblLook w:val="04A0" w:firstRow="1" w:lastRow="0" w:firstColumn="1" w:lastColumn="0" w:noHBand="0" w:noVBand="1"/>
        <w:tblCaption w:val="Table 7: voter turnout of directly enrolled electors by age group, 2014 State election"/>
      </w:tblPr>
      <w:tblGrid>
        <w:gridCol w:w="1396"/>
        <w:gridCol w:w="1648"/>
        <w:gridCol w:w="1513"/>
        <w:gridCol w:w="1855"/>
        <w:gridCol w:w="1415"/>
        <w:gridCol w:w="1415"/>
      </w:tblGrid>
      <w:tr w:rsidR="00A31754" w:rsidRPr="004A5BC1" w:rsidTr="00E22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rPr>
                <w:rFonts w:ascii="Arial" w:hAnsi="Arial" w:cs="Arial"/>
              </w:rPr>
            </w:pPr>
            <w:r w:rsidRPr="00E22FE9">
              <w:rPr>
                <w:rFonts w:ascii="Arial" w:hAnsi="Arial" w:cs="Arial"/>
              </w:rPr>
              <w:t>Age group</w:t>
            </w:r>
          </w:p>
        </w:tc>
        <w:tc>
          <w:tcPr>
            <w:tcW w:w="1705" w:type="dxa"/>
            <w:vAlign w:val="center"/>
          </w:tcPr>
          <w:p w:rsidR="00A31754" w:rsidRPr="00E22FE9" w:rsidRDefault="00A31754" w:rsidP="00E22FE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New enrolments</w:t>
            </w:r>
          </w:p>
        </w:tc>
        <w:tc>
          <w:tcPr>
            <w:tcW w:w="1608" w:type="dxa"/>
            <w:vAlign w:val="center"/>
          </w:tcPr>
          <w:p w:rsidR="00A31754" w:rsidRPr="00E22FE9" w:rsidRDefault="00A31754" w:rsidP="00E22FE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Address updates</w:t>
            </w:r>
          </w:p>
        </w:tc>
        <w:tc>
          <w:tcPr>
            <w:tcW w:w="1328" w:type="dxa"/>
            <w:vAlign w:val="center"/>
          </w:tcPr>
          <w:p w:rsidR="00A31754" w:rsidRPr="00E22FE9" w:rsidRDefault="00A31754" w:rsidP="00E22FE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Reinstatements</w:t>
            </w:r>
          </w:p>
        </w:tc>
        <w:tc>
          <w:tcPr>
            <w:tcW w:w="1538" w:type="dxa"/>
            <w:vAlign w:val="center"/>
          </w:tcPr>
          <w:p w:rsidR="00A31754" w:rsidRPr="00E22FE9" w:rsidRDefault="00A31754" w:rsidP="00E22FE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Total voters</w:t>
            </w:r>
          </w:p>
        </w:tc>
        <w:tc>
          <w:tcPr>
            <w:tcW w:w="1538" w:type="dxa"/>
            <w:vAlign w:val="center"/>
          </w:tcPr>
          <w:p w:rsidR="00A31754" w:rsidRPr="00E22FE9" w:rsidRDefault="00A31754" w:rsidP="00E22FE9">
            <w:pPr>
              <w:cnfStyle w:val="100000000000" w:firstRow="1" w:lastRow="0" w:firstColumn="0" w:lastColumn="0" w:oddVBand="0" w:evenVBand="0" w:oddHBand="0" w:evenHBand="0" w:firstRowFirstColumn="0" w:firstRowLastColumn="0" w:lastRowFirstColumn="0" w:lastRowLastColumn="0"/>
              <w:rPr>
                <w:rFonts w:ascii="Arial" w:hAnsi="Arial" w:cs="Arial"/>
                <w:i/>
                <w:highlight w:val="yellow"/>
              </w:rPr>
            </w:pPr>
            <w:r w:rsidRPr="00E22FE9">
              <w:rPr>
                <w:rFonts w:ascii="Arial" w:hAnsi="Arial" w:cs="Arial"/>
              </w:rPr>
              <w:t>Age group – total voters</w:t>
            </w:r>
          </w:p>
        </w:tc>
      </w:tr>
      <w:tr w:rsidR="00A31754"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18-19</w:t>
            </w:r>
          </w:p>
        </w:tc>
        <w:tc>
          <w:tcPr>
            <w:tcW w:w="1705"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79.44%</w:t>
            </w:r>
          </w:p>
        </w:tc>
        <w:tc>
          <w:tcPr>
            <w:tcW w:w="1608"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87.12%</w:t>
            </w:r>
          </w:p>
        </w:tc>
        <w:tc>
          <w:tcPr>
            <w:tcW w:w="132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45.45%</w:t>
            </w:r>
          </w:p>
        </w:tc>
        <w:tc>
          <w:tcPr>
            <w:tcW w:w="153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6C5F">
              <w:rPr>
                <w:rFonts w:ascii="Arial" w:hAnsi="Arial" w:cs="Arial"/>
              </w:rPr>
              <w:t>88.0</w:t>
            </w:r>
          </w:p>
        </w:tc>
        <w:tc>
          <w:tcPr>
            <w:tcW w:w="1538"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18-19</w:t>
            </w:r>
          </w:p>
        </w:tc>
      </w:tr>
      <w:tr w:rsidR="00A31754" w:rsidTr="00E22FE9">
        <w:trPr>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20-24</w:t>
            </w:r>
          </w:p>
        </w:tc>
        <w:tc>
          <w:tcPr>
            <w:tcW w:w="1705"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48.57%</w:t>
            </w:r>
          </w:p>
        </w:tc>
        <w:tc>
          <w:tcPr>
            <w:tcW w:w="160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84.12%</w:t>
            </w:r>
          </w:p>
        </w:tc>
        <w:tc>
          <w:tcPr>
            <w:tcW w:w="132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58.52%</w:t>
            </w:r>
          </w:p>
        </w:tc>
        <w:tc>
          <w:tcPr>
            <w:tcW w:w="153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6C5F">
              <w:rPr>
                <w:rFonts w:ascii="Arial" w:hAnsi="Arial" w:cs="Arial"/>
              </w:rPr>
              <w:t>80.5</w:t>
            </w:r>
          </w:p>
        </w:tc>
        <w:tc>
          <w:tcPr>
            <w:tcW w:w="1538" w:type="dxa"/>
            <w:vAlign w:val="center"/>
          </w:tcPr>
          <w:p w:rsidR="00A31754" w:rsidRPr="00FA5047"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Pr>
                <w:rFonts w:ascii="Arial" w:hAnsi="Arial" w:cs="Arial"/>
              </w:rPr>
              <w:t>20-24</w:t>
            </w:r>
          </w:p>
        </w:tc>
      </w:tr>
      <w:tr w:rsidR="00A31754"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25-29</w:t>
            </w:r>
          </w:p>
        </w:tc>
        <w:tc>
          <w:tcPr>
            <w:tcW w:w="1705"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44.65%</w:t>
            </w:r>
          </w:p>
        </w:tc>
        <w:tc>
          <w:tcPr>
            <w:tcW w:w="1608"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83.05%</w:t>
            </w:r>
          </w:p>
        </w:tc>
        <w:tc>
          <w:tcPr>
            <w:tcW w:w="132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54.32%</w:t>
            </w:r>
          </w:p>
        </w:tc>
        <w:tc>
          <w:tcPr>
            <w:tcW w:w="153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6C5F">
              <w:rPr>
                <w:rFonts w:ascii="Arial" w:hAnsi="Arial" w:cs="Arial"/>
              </w:rPr>
              <w:t>78.3</w:t>
            </w:r>
          </w:p>
        </w:tc>
        <w:tc>
          <w:tcPr>
            <w:tcW w:w="1538" w:type="dxa"/>
            <w:vAlign w:val="center"/>
          </w:tcPr>
          <w:p w:rsidR="00A31754" w:rsidRPr="00FA5047"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rPr>
              <w:t>25-29</w:t>
            </w:r>
          </w:p>
        </w:tc>
      </w:tr>
      <w:tr w:rsidR="00A31754" w:rsidTr="00E22FE9">
        <w:trPr>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30-34</w:t>
            </w:r>
          </w:p>
        </w:tc>
        <w:tc>
          <w:tcPr>
            <w:tcW w:w="1705"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43.5%</w:t>
            </w:r>
          </w:p>
        </w:tc>
        <w:tc>
          <w:tcPr>
            <w:tcW w:w="160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83.27%</w:t>
            </w:r>
          </w:p>
        </w:tc>
        <w:tc>
          <w:tcPr>
            <w:tcW w:w="132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53.84%</w:t>
            </w:r>
          </w:p>
        </w:tc>
        <w:tc>
          <w:tcPr>
            <w:tcW w:w="153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6C5F">
              <w:rPr>
                <w:rFonts w:ascii="Arial" w:hAnsi="Arial" w:cs="Arial"/>
              </w:rPr>
              <w:t>81.6</w:t>
            </w:r>
          </w:p>
        </w:tc>
        <w:tc>
          <w:tcPr>
            <w:tcW w:w="153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30-34</w:t>
            </w:r>
          </w:p>
        </w:tc>
      </w:tr>
      <w:tr w:rsidR="00A31754"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35-39</w:t>
            </w:r>
          </w:p>
        </w:tc>
        <w:tc>
          <w:tcPr>
            <w:tcW w:w="1705"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43.32%</w:t>
            </w:r>
          </w:p>
        </w:tc>
        <w:tc>
          <w:tcPr>
            <w:tcW w:w="1608"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84.44%</w:t>
            </w:r>
          </w:p>
        </w:tc>
        <w:tc>
          <w:tcPr>
            <w:tcW w:w="132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54.34%</w:t>
            </w:r>
          </w:p>
        </w:tc>
        <w:tc>
          <w:tcPr>
            <w:tcW w:w="153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6C5F">
              <w:rPr>
                <w:rFonts w:ascii="Arial" w:hAnsi="Arial" w:cs="Arial"/>
              </w:rPr>
              <w:t>85.7</w:t>
            </w:r>
          </w:p>
        </w:tc>
        <w:tc>
          <w:tcPr>
            <w:tcW w:w="1538" w:type="dxa"/>
            <w:vAlign w:val="center"/>
          </w:tcPr>
          <w:p w:rsidR="00A31754" w:rsidRPr="00FA5047"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rPr>
              <w:t>35-39</w:t>
            </w:r>
          </w:p>
        </w:tc>
      </w:tr>
      <w:tr w:rsidR="00A31754" w:rsidTr="00E22FE9">
        <w:trPr>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40-44</w:t>
            </w:r>
          </w:p>
        </w:tc>
        <w:tc>
          <w:tcPr>
            <w:tcW w:w="1705"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49.72%</w:t>
            </w:r>
          </w:p>
        </w:tc>
        <w:tc>
          <w:tcPr>
            <w:tcW w:w="160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85.53%</w:t>
            </w:r>
          </w:p>
        </w:tc>
        <w:tc>
          <w:tcPr>
            <w:tcW w:w="132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56.33%</w:t>
            </w:r>
          </w:p>
        </w:tc>
        <w:tc>
          <w:tcPr>
            <w:tcW w:w="153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6C5F">
              <w:rPr>
                <w:rFonts w:ascii="Arial" w:hAnsi="Arial" w:cs="Arial"/>
              </w:rPr>
              <w:t>88.9</w:t>
            </w:r>
          </w:p>
        </w:tc>
        <w:tc>
          <w:tcPr>
            <w:tcW w:w="153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40-44</w:t>
            </w:r>
          </w:p>
        </w:tc>
      </w:tr>
      <w:tr w:rsidR="00A31754"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45-49</w:t>
            </w:r>
          </w:p>
        </w:tc>
        <w:tc>
          <w:tcPr>
            <w:tcW w:w="1705"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59.44%</w:t>
            </w:r>
          </w:p>
        </w:tc>
        <w:tc>
          <w:tcPr>
            <w:tcW w:w="1608"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86.65%</w:t>
            </w:r>
          </w:p>
        </w:tc>
        <w:tc>
          <w:tcPr>
            <w:tcW w:w="132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57.44%</w:t>
            </w:r>
          </w:p>
        </w:tc>
        <w:tc>
          <w:tcPr>
            <w:tcW w:w="153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6C5F">
              <w:rPr>
                <w:rFonts w:ascii="Arial" w:hAnsi="Arial" w:cs="Arial"/>
              </w:rPr>
              <w:t>90.7</w:t>
            </w:r>
          </w:p>
        </w:tc>
        <w:tc>
          <w:tcPr>
            <w:tcW w:w="1538" w:type="dxa"/>
            <w:vAlign w:val="center"/>
          </w:tcPr>
          <w:p w:rsidR="00A31754" w:rsidRPr="00FA5047"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rPr>
              <w:t>45-49</w:t>
            </w:r>
          </w:p>
        </w:tc>
      </w:tr>
      <w:tr w:rsidR="00A31754" w:rsidTr="00E22FE9">
        <w:trPr>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50-54</w:t>
            </w:r>
          </w:p>
        </w:tc>
        <w:tc>
          <w:tcPr>
            <w:tcW w:w="1705"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53.22%</w:t>
            </w:r>
          </w:p>
        </w:tc>
        <w:tc>
          <w:tcPr>
            <w:tcW w:w="160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88.16%</w:t>
            </w:r>
          </w:p>
        </w:tc>
        <w:tc>
          <w:tcPr>
            <w:tcW w:w="132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60.98%</w:t>
            </w:r>
          </w:p>
        </w:tc>
        <w:tc>
          <w:tcPr>
            <w:tcW w:w="153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6C5F">
              <w:rPr>
                <w:rFonts w:ascii="Arial" w:hAnsi="Arial" w:cs="Arial"/>
              </w:rPr>
              <w:t>91.9</w:t>
            </w:r>
          </w:p>
        </w:tc>
        <w:tc>
          <w:tcPr>
            <w:tcW w:w="153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50-54</w:t>
            </w:r>
          </w:p>
        </w:tc>
      </w:tr>
      <w:tr w:rsidR="00A31754"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55-59</w:t>
            </w:r>
          </w:p>
        </w:tc>
        <w:tc>
          <w:tcPr>
            <w:tcW w:w="1705"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53.01%</w:t>
            </w:r>
          </w:p>
        </w:tc>
        <w:tc>
          <w:tcPr>
            <w:tcW w:w="1608" w:type="dxa"/>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88.64%</w:t>
            </w:r>
          </w:p>
        </w:tc>
        <w:tc>
          <w:tcPr>
            <w:tcW w:w="132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59.42%</w:t>
            </w:r>
          </w:p>
        </w:tc>
        <w:tc>
          <w:tcPr>
            <w:tcW w:w="153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6C5F">
              <w:rPr>
                <w:rFonts w:ascii="Arial" w:hAnsi="Arial" w:cs="Arial"/>
              </w:rPr>
              <w:t>92.7</w:t>
            </w:r>
          </w:p>
        </w:tc>
        <w:tc>
          <w:tcPr>
            <w:tcW w:w="1538" w:type="dxa"/>
            <w:vAlign w:val="center"/>
          </w:tcPr>
          <w:p w:rsidR="00A31754" w:rsidRPr="00FA5047"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rPr>
              <w:t>55-59</w:t>
            </w:r>
          </w:p>
        </w:tc>
      </w:tr>
      <w:tr w:rsidR="00A31754" w:rsidTr="00E22FE9">
        <w:trPr>
          <w:trHeight w:val="397"/>
        </w:trPr>
        <w:tc>
          <w:tcPr>
            <w:cnfStyle w:val="001000000000" w:firstRow="0" w:lastRow="0" w:firstColumn="1" w:lastColumn="0" w:oddVBand="0" w:evenVBand="0" w:oddHBand="0" w:evenHBand="0" w:firstRowFirstColumn="0" w:firstRowLastColumn="0" w:lastRowFirstColumn="0" w:lastRowLastColumn="0"/>
            <w:tcW w:w="1525" w:type="dxa"/>
            <w:vAlign w:val="center"/>
          </w:tcPr>
          <w:p w:rsidR="00A31754" w:rsidRPr="00E22FE9" w:rsidRDefault="00A31754" w:rsidP="00E22FE9">
            <w:pPr>
              <w:jc w:val="center"/>
              <w:rPr>
                <w:rFonts w:ascii="Arial" w:hAnsi="Arial" w:cs="Arial"/>
                <w:b w:val="0"/>
              </w:rPr>
            </w:pPr>
            <w:r w:rsidRPr="00E22FE9">
              <w:rPr>
                <w:rFonts w:ascii="Arial" w:hAnsi="Arial" w:cs="Arial"/>
                <w:b w:val="0"/>
              </w:rPr>
              <w:t>60-64</w:t>
            </w:r>
          </w:p>
        </w:tc>
        <w:tc>
          <w:tcPr>
            <w:tcW w:w="1705"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45.99%</w:t>
            </w:r>
          </w:p>
        </w:tc>
        <w:tc>
          <w:tcPr>
            <w:tcW w:w="160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90.35%</w:t>
            </w:r>
          </w:p>
        </w:tc>
        <w:tc>
          <w:tcPr>
            <w:tcW w:w="132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59.49%</w:t>
            </w:r>
          </w:p>
        </w:tc>
        <w:tc>
          <w:tcPr>
            <w:tcW w:w="153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6C5F">
              <w:rPr>
                <w:rFonts w:ascii="Arial" w:hAnsi="Arial" w:cs="Arial"/>
              </w:rPr>
              <w:t>93.6</w:t>
            </w:r>
          </w:p>
        </w:tc>
        <w:tc>
          <w:tcPr>
            <w:tcW w:w="153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60-64</w:t>
            </w:r>
          </w:p>
        </w:tc>
      </w:tr>
      <w:tr w:rsidR="00A31754"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5" w:type="dxa"/>
            <w:vMerge w:val="restart"/>
            <w:vAlign w:val="center"/>
          </w:tcPr>
          <w:p w:rsidR="00A31754" w:rsidRPr="00E22FE9" w:rsidRDefault="00A31754" w:rsidP="00E22FE9">
            <w:pPr>
              <w:jc w:val="center"/>
              <w:rPr>
                <w:rFonts w:ascii="Arial" w:hAnsi="Arial" w:cs="Arial"/>
                <w:b w:val="0"/>
              </w:rPr>
            </w:pPr>
            <w:r w:rsidRPr="00E22FE9">
              <w:rPr>
                <w:rFonts w:ascii="Arial" w:hAnsi="Arial" w:cs="Arial"/>
                <w:b w:val="0"/>
              </w:rPr>
              <w:t>65+</w:t>
            </w:r>
          </w:p>
        </w:tc>
        <w:tc>
          <w:tcPr>
            <w:tcW w:w="1705" w:type="dxa"/>
            <w:vMerge w:val="restart"/>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55.11%</w:t>
            </w:r>
          </w:p>
        </w:tc>
        <w:tc>
          <w:tcPr>
            <w:tcW w:w="1608" w:type="dxa"/>
            <w:vMerge w:val="restart"/>
            <w:vAlign w:val="center"/>
          </w:tcPr>
          <w:p w:rsidR="00A31754"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86.82%</w:t>
            </w:r>
          </w:p>
        </w:tc>
        <w:tc>
          <w:tcPr>
            <w:tcW w:w="1328" w:type="dxa"/>
            <w:vMerge w:val="restart"/>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54.19%</w:t>
            </w:r>
          </w:p>
        </w:tc>
        <w:tc>
          <w:tcPr>
            <w:tcW w:w="153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6C5F">
              <w:rPr>
                <w:rFonts w:ascii="Arial" w:hAnsi="Arial" w:cs="Arial"/>
              </w:rPr>
              <w:t>94.2</w:t>
            </w:r>
          </w:p>
        </w:tc>
        <w:tc>
          <w:tcPr>
            <w:tcW w:w="1538" w:type="dxa"/>
            <w:vAlign w:val="center"/>
          </w:tcPr>
          <w:p w:rsidR="00A31754" w:rsidRPr="00C96C5F" w:rsidRDefault="00A31754"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C96C5F">
              <w:rPr>
                <w:rFonts w:ascii="Arial" w:hAnsi="Arial" w:cs="Arial"/>
              </w:rPr>
              <w:t>65-69</w:t>
            </w:r>
          </w:p>
        </w:tc>
      </w:tr>
      <w:tr w:rsidR="00A31754" w:rsidTr="00E22FE9">
        <w:trPr>
          <w:trHeight w:val="397"/>
        </w:trPr>
        <w:tc>
          <w:tcPr>
            <w:cnfStyle w:val="001000000000" w:firstRow="0" w:lastRow="0" w:firstColumn="1" w:lastColumn="0" w:oddVBand="0" w:evenVBand="0" w:oddHBand="0" w:evenHBand="0" w:firstRowFirstColumn="0" w:firstRowLastColumn="0" w:lastRowFirstColumn="0" w:lastRowLastColumn="0"/>
            <w:tcW w:w="1525" w:type="dxa"/>
            <w:vMerge/>
            <w:vAlign w:val="center"/>
          </w:tcPr>
          <w:p w:rsidR="00A31754" w:rsidRDefault="00A31754" w:rsidP="00E22FE9">
            <w:pPr>
              <w:jc w:val="center"/>
              <w:rPr>
                <w:rFonts w:ascii="Arial" w:hAnsi="Arial" w:cs="Arial"/>
              </w:rPr>
            </w:pPr>
          </w:p>
        </w:tc>
        <w:tc>
          <w:tcPr>
            <w:tcW w:w="1705" w:type="dxa"/>
            <w:vMerge/>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08" w:type="dxa"/>
            <w:vMerge/>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28" w:type="dxa"/>
            <w:vMerge/>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538" w:type="dxa"/>
            <w:vAlign w:val="center"/>
          </w:tcPr>
          <w:p w:rsidR="00A31754" w:rsidRPr="00C96C5F"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C96C5F">
              <w:rPr>
                <w:rFonts w:ascii="Arial" w:hAnsi="Arial" w:cs="Arial"/>
              </w:rPr>
              <w:t>89.9</w:t>
            </w:r>
          </w:p>
        </w:tc>
        <w:tc>
          <w:tcPr>
            <w:tcW w:w="1538" w:type="dxa"/>
            <w:vAlign w:val="center"/>
          </w:tcPr>
          <w:p w:rsidR="00A31754" w:rsidRDefault="00A31754"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70+</w:t>
            </w:r>
          </w:p>
        </w:tc>
      </w:tr>
    </w:tbl>
    <w:p w:rsidR="001A0A8D" w:rsidRDefault="001A0A8D" w:rsidP="001A0A8D">
      <w:pPr>
        <w:rPr>
          <w:rFonts w:ascii="Arial" w:hAnsi="Arial" w:cs="Arial"/>
          <w:b/>
          <w:sz w:val="20"/>
          <w:szCs w:val="20"/>
        </w:rPr>
      </w:pPr>
      <w:r w:rsidRPr="00A14F9F">
        <w:rPr>
          <w:rFonts w:ascii="Arial" w:hAnsi="Arial" w:cs="Arial"/>
          <w:b/>
          <w:sz w:val="20"/>
          <w:szCs w:val="20"/>
        </w:rPr>
        <w:t xml:space="preserve">Table </w:t>
      </w:r>
      <w:r>
        <w:rPr>
          <w:rFonts w:ascii="Arial" w:hAnsi="Arial" w:cs="Arial"/>
          <w:b/>
          <w:sz w:val="20"/>
          <w:szCs w:val="20"/>
        </w:rPr>
        <w:t>7</w:t>
      </w:r>
      <w:r w:rsidRPr="00A14F9F">
        <w:rPr>
          <w:rFonts w:ascii="Arial" w:hAnsi="Arial" w:cs="Arial"/>
          <w:b/>
          <w:sz w:val="20"/>
          <w:szCs w:val="20"/>
        </w:rPr>
        <w:t xml:space="preserve">: </w:t>
      </w:r>
      <w:r>
        <w:rPr>
          <w:rFonts w:ascii="Arial" w:hAnsi="Arial" w:cs="Arial"/>
          <w:b/>
          <w:sz w:val="20"/>
          <w:szCs w:val="20"/>
        </w:rPr>
        <w:t>Voter turnout of directly enrolled electors by age group, 2014 State election</w:t>
      </w:r>
    </w:p>
    <w:p w:rsidR="00622207" w:rsidRDefault="007743E7" w:rsidP="008F0E33">
      <w:pPr>
        <w:rPr>
          <w:rFonts w:ascii="Arial" w:hAnsi="Arial" w:cs="Arial"/>
        </w:rPr>
      </w:pPr>
      <w:r>
        <w:rPr>
          <w:rFonts w:ascii="Arial" w:hAnsi="Arial" w:cs="Arial"/>
        </w:rPr>
        <w:t>The pattern for directly enrolled new electors was very unusual. New electors aged 18 and 19 had a solid voter turnout of 79.44%. These young electors comprised almost half (45.48%) of directly enrolled new electors in 2014. Voter turnout by all other directly enrolled new electors was drastically lower – less than 50% for all electors aged 20-44</w:t>
      </w:r>
      <w:r w:rsidR="002168B7">
        <w:rPr>
          <w:rFonts w:ascii="Arial" w:hAnsi="Arial" w:cs="Arial"/>
        </w:rPr>
        <w:t xml:space="preserve">, and just above 50% for older electors. Voting is a rite of passage for young people, and voter turnout </w:t>
      </w:r>
      <w:r w:rsidR="00704B3B">
        <w:rPr>
          <w:rFonts w:ascii="Arial" w:hAnsi="Arial" w:cs="Arial"/>
        </w:rPr>
        <w:t>tends to be higher for young electors’ first election, before falling away in their 20s. The 18 and 19 year old electors would have included many Year 11 and 12 VCE students in the VCAA database, who were educated and probably favourably disposed to voting. In contrast, the older new electors would have been gathered through the VicRoads database. These are people who had stayed off the roll for a variety of reasons until they were directly enrolled, and who presumably brought the same habits of non-participation to voting in an election.</w:t>
      </w:r>
    </w:p>
    <w:p w:rsidR="005F458D" w:rsidRDefault="00A31754" w:rsidP="008F0E33">
      <w:pPr>
        <w:rPr>
          <w:rFonts w:ascii="Arial" w:hAnsi="Arial" w:cs="Arial"/>
        </w:rPr>
      </w:pPr>
      <w:r>
        <w:rPr>
          <w:rFonts w:ascii="Arial" w:hAnsi="Arial" w:cs="Arial"/>
        </w:rPr>
        <w:t xml:space="preserve">The voting pattern for reinstated electors was quite different. </w:t>
      </w:r>
      <w:r w:rsidR="005F458D">
        <w:rPr>
          <w:rFonts w:ascii="Arial" w:hAnsi="Arial" w:cs="Arial"/>
        </w:rPr>
        <w:t>Two thirds of these electors were aged between 25 and 44. Only 2.5% of these electors were aged 65 or over, and insignificant numbers were younger than 20. Voter turnout by the main group of reinstated electors was consistently in the low 50s, and was slightly higher for those aged 50-64.</w:t>
      </w:r>
    </w:p>
    <w:p w:rsidR="005966FD" w:rsidRDefault="005966FD" w:rsidP="008F0E33">
      <w:pPr>
        <w:rPr>
          <w:rFonts w:ascii="Arial" w:hAnsi="Arial" w:cs="Arial"/>
        </w:rPr>
      </w:pPr>
      <w:r>
        <w:rPr>
          <w:rFonts w:ascii="Arial" w:hAnsi="Arial" w:cs="Arial"/>
        </w:rPr>
        <w:lastRenderedPageBreak/>
        <w:t xml:space="preserve">Voting by the age groups of electors whose address had been directly updated paralleled that for voters in general, but </w:t>
      </w:r>
      <w:r w:rsidR="00C96C5F">
        <w:rPr>
          <w:rFonts w:ascii="Arial" w:hAnsi="Arial" w:cs="Arial"/>
        </w:rPr>
        <w:t xml:space="preserve">generally </w:t>
      </w:r>
      <w:r>
        <w:rPr>
          <w:rFonts w:ascii="Arial" w:hAnsi="Arial" w:cs="Arial"/>
        </w:rPr>
        <w:t xml:space="preserve">at a slightly lower level. There was a good voter turnout by voters who were 18 and 19, with a decline for those in their 20s, then a slow rise up to the mid-60s, with a slight decline for the oldest voters. </w:t>
      </w:r>
    </w:p>
    <w:p w:rsidR="002006F4" w:rsidRPr="00FF5D90" w:rsidRDefault="002006F4" w:rsidP="002006F4">
      <w:pPr>
        <w:pStyle w:val="Heading3"/>
        <w:rPr>
          <w:rFonts w:ascii="Arial" w:hAnsi="Arial" w:cs="Arial"/>
          <w:color w:val="7D922E"/>
          <w:sz w:val="24"/>
          <w:szCs w:val="24"/>
        </w:rPr>
      </w:pPr>
      <w:bookmarkStart w:id="12" w:name="_Toc491857287"/>
      <w:r w:rsidRPr="00FF5D90">
        <w:rPr>
          <w:rFonts w:ascii="Arial" w:hAnsi="Arial" w:cs="Arial"/>
          <w:color w:val="7D922E"/>
          <w:sz w:val="24"/>
          <w:szCs w:val="24"/>
        </w:rPr>
        <w:t>Geographic distribution</w:t>
      </w:r>
      <w:bookmarkEnd w:id="12"/>
    </w:p>
    <w:p w:rsidR="002006F4" w:rsidRDefault="002006F4" w:rsidP="002006F4">
      <w:pPr>
        <w:rPr>
          <w:rFonts w:ascii="Arial" w:hAnsi="Arial" w:cs="Arial"/>
        </w:rPr>
      </w:pPr>
      <w:r>
        <w:rPr>
          <w:rFonts w:ascii="Arial" w:hAnsi="Arial" w:cs="Arial"/>
        </w:rPr>
        <w:t xml:space="preserve">Table 8 shows </w:t>
      </w:r>
      <w:r w:rsidR="00CE659E">
        <w:rPr>
          <w:rFonts w:ascii="Arial" w:hAnsi="Arial" w:cs="Arial"/>
        </w:rPr>
        <w:t>voter turnout</w:t>
      </w:r>
      <w:r>
        <w:rPr>
          <w:rFonts w:ascii="Arial" w:hAnsi="Arial" w:cs="Arial"/>
        </w:rPr>
        <w:t xml:space="preserve"> by electoral district, in terms of each district’s deviation from the State district average. Districts that deviate</w:t>
      </w:r>
      <w:r w:rsidR="00610C13">
        <w:rPr>
          <w:rFonts w:ascii="Arial" w:hAnsi="Arial" w:cs="Arial"/>
        </w:rPr>
        <w:t>d</w:t>
      </w:r>
      <w:r>
        <w:rPr>
          <w:rFonts w:ascii="Arial" w:hAnsi="Arial" w:cs="Arial"/>
        </w:rPr>
        <w:t xml:space="preserve"> by more than 3 percent</w:t>
      </w:r>
      <w:r w:rsidR="00CE659E">
        <w:rPr>
          <w:rFonts w:ascii="Arial" w:hAnsi="Arial" w:cs="Arial"/>
        </w:rPr>
        <w:t>age points</w:t>
      </w:r>
      <w:r>
        <w:rPr>
          <w:rFonts w:ascii="Arial" w:hAnsi="Arial" w:cs="Arial"/>
        </w:rPr>
        <w:t xml:space="preserve"> are highlighted (in </w:t>
      </w:r>
      <w:r w:rsidR="000F4FA4">
        <w:rPr>
          <w:rFonts w:ascii="Arial" w:hAnsi="Arial" w:cs="Arial"/>
        </w:rPr>
        <w:t>orange</w:t>
      </w:r>
      <w:r>
        <w:rPr>
          <w:rFonts w:ascii="Arial" w:hAnsi="Arial" w:cs="Arial"/>
        </w:rPr>
        <w:t xml:space="preserve"> for those </w:t>
      </w:r>
      <w:r w:rsidR="006F74A5">
        <w:rPr>
          <w:rFonts w:ascii="Arial" w:hAnsi="Arial" w:cs="Arial"/>
        </w:rPr>
        <w:t>above</w:t>
      </w:r>
      <w:r>
        <w:rPr>
          <w:rFonts w:ascii="Arial" w:hAnsi="Arial" w:cs="Arial"/>
        </w:rPr>
        <w:t xml:space="preserve"> the average and </w:t>
      </w:r>
      <w:r w:rsidR="000F4FA4">
        <w:rPr>
          <w:rFonts w:ascii="Arial" w:hAnsi="Arial" w:cs="Arial"/>
        </w:rPr>
        <w:t>green</w:t>
      </w:r>
      <w:r>
        <w:rPr>
          <w:rFonts w:ascii="Arial" w:hAnsi="Arial" w:cs="Arial"/>
        </w:rPr>
        <w:t xml:space="preserve"> for those </w:t>
      </w:r>
      <w:r w:rsidR="006F74A5">
        <w:rPr>
          <w:rFonts w:ascii="Arial" w:hAnsi="Arial" w:cs="Arial"/>
        </w:rPr>
        <w:t>below</w:t>
      </w:r>
      <w:r>
        <w:rPr>
          <w:rFonts w:ascii="Arial" w:hAnsi="Arial" w:cs="Arial"/>
        </w:rPr>
        <w:t xml:space="preserve"> the average).</w:t>
      </w:r>
    </w:p>
    <w:tbl>
      <w:tblPr>
        <w:tblStyle w:val="LightList-Accent3"/>
        <w:tblW w:w="0" w:type="auto"/>
        <w:tblLook w:val="04A0" w:firstRow="1" w:lastRow="0" w:firstColumn="1" w:lastColumn="0" w:noHBand="0" w:noVBand="1"/>
        <w:tblCaption w:val="Table 8.1: voter turnout by electoral district, 2014 State election"/>
      </w:tblPr>
      <w:tblGrid>
        <w:gridCol w:w="2051"/>
        <w:gridCol w:w="1892"/>
        <w:gridCol w:w="1753"/>
        <w:gridCol w:w="1855"/>
        <w:gridCol w:w="1691"/>
      </w:tblGrid>
      <w:tr w:rsidR="00A519B2" w:rsidRPr="00CE659E" w:rsidTr="00437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rPr>
            </w:pPr>
            <w:r w:rsidRPr="00E22FE9">
              <w:rPr>
                <w:rFonts w:ascii="Arial" w:hAnsi="Arial" w:cs="Arial"/>
              </w:rPr>
              <w:t>District</w:t>
            </w:r>
          </w:p>
        </w:tc>
        <w:tc>
          <w:tcPr>
            <w:tcW w:w="1892" w:type="dxa"/>
            <w:vAlign w:val="center"/>
          </w:tcPr>
          <w:p w:rsidR="00A519B2" w:rsidRPr="00E22FE9"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New enrolments</w:t>
            </w:r>
          </w:p>
        </w:tc>
        <w:tc>
          <w:tcPr>
            <w:tcW w:w="1753" w:type="dxa"/>
            <w:vAlign w:val="center"/>
          </w:tcPr>
          <w:p w:rsidR="00A519B2" w:rsidRPr="00E22FE9"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Address updates</w:t>
            </w:r>
          </w:p>
        </w:tc>
        <w:tc>
          <w:tcPr>
            <w:tcW w:w="1855" w:type="dxa"/>
            <w:vAlign w:val="center"/>
          </w:tcPr>
          <w:p w:rsidR="00A519B2" w:rsidRPr="00E22FE9"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Reinstatements</w:t>
            </w:r>
          </w:p>
        </w:tc>
        <w:tc>
          <w:tcPr>
            <w:tcW w:w="1691" w:type="dxa"/>
            <w:vAlign w:val="center"/>
          </w:tcPr>
          <w:p w:rsidR="00A519B2" w:rsidRPr="00E22FE9"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Total votes</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Albert Park</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53.33%</w:t>
            </w:r>
          </w:p>
        </w:tc>
        <w:tc>
          <w:tcPr>
            <w:tcW w:w="1753"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81.45%</w:t>
            </w:r>
          </w:p>
        </w:tc>
        <w:tc>
          <w:tcPr>
            <w:tcW w:w="1855"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52.61%</w:t>
            </w:r>
          </w:p>
        </w:tc>
        <w:tc>
          <w:tcPr>
            <w:tcW w:w="1691"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88.45%</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Altona</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57.17%</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84.18%</w:t>
            </w:r>
          </w:p>
        </w:tc>
        <w:tc>
          <w:tcPr>
            <w:tcW w:w="1855"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56.44%</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92.64%</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Bass</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55.14%</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85.94%</w:t>
            </w:r>
          </w:p>
        </w:tc>
        <w:tc>
          <w:tcPr>
            <w:tcW w:w="1855"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57.14%</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94.37%</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Bayswater</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60.27%</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86.29%</w:t>
            </w:r>
          </w:p>
        </w:tc>
        <w:tc>
          <w:tcPr>
            <w:tcW w:w="1855" w:type="dxa"/>
            <w:shd w:val="clear" w:color="auto" w:fill="FBD4B4" w:themeFill="accent6" w:themeFillTint="66"/>
            <w:vAlign w:val="center"/>
          </w:tcPr>
          <w:p w:rsidR="00A519B2" w:rsidRPr="00695B7B"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59.49%</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94.1%</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Bellarine</w:t>
            </w:r>
          </w:p>
        </w:tc>
        <w:tc>
          <w:tcPr>
            <w:tcW w:w="1892"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65.96%</w:t>
            </w:r>
          </w:p>
        </w:tc>
        <w:tc>
          <w:tcPr>
            <w:tcW w:w="1753"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88.49%</w:t>
            </w:r>
          </w:p>
        </w:tc>
        <w:tc>
          <w:tcPr>
            <w:tcW w:w="1855"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61.18%</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95.38%</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Benambra</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59.47%</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82.54%</w:t>
            </w:r>
          </w:p>
        </w:tc>
        <w:tc>
          <w:tcPr>
            <w:tcW w:w="1855"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46.25%</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92.88%</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Bendigo East</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62.33%</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87.18%</w:t>
            </w:r>
          </w:p>
        </w:tc>
        <w:tc>
          <w:tcPr>
            <w:tcW w:w="1855"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56.13%</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94.95%</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Bendigo West</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55.29%</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85.38%</w:t>
            </w:r>
          </w:p>
        </w:tc>
        <w:tc>
          <w:tcPr>
            <w:tcW w:w="1855"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52.84%</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93.83%</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Bentleigh</w:t>
            </w:r>
          </w:p>
        </w:tc>
        <w:tc>
          <w:tcPr>
            <w:tcW w:w="1892"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69.64%</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87.47%</w:t>
            </w:r>
          </w:p>
        </w:tc>
        <w:tc>
          <w:tcPr>
            <w:tcW w:w="1855"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60.79%</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93.56%</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Box Hill</w:t>
            </w:r>
          </w:p>
        </w:tc>
        <w:tc>
          <w:tcPr>
            <w:tcW w:w="1892" w:type="dxa"/>
            <w:shd w:val="clear" w:color="auto" w:fill="FBD4B4" w:themeFill="accent6" w:themeFillTint="66"/>
            <w:vAlign w:val="center"/>
          </w:tcPr>
          <w:p w:rsidR="00A519B2" w:rsidRPr="00695B7B"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73.04%</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87.7%</w:t>
            </w:r>
          </w:p>
        </w:tc>
        <w:tc>
          <w:tcPr>
            <w:tcW w:w="1855"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58.82%</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93.4%</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Brighton</w:t>
            </w:r>
          </w:p>
        </w:tc>
        <w:tc>
          <w:tcPr>
            <w:tcW w:w="1892"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72.32%</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85.94%</w:t>
            </w:r>
          </w:p>
        </w:tc>
        <w:tc>
          <w:tcPr>
            <w:tcW w:w="1855"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57.64%</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92.05%</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Broadmeadows</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56.75%</w:t>
            </w:r>
          </w:p>
        </w:tc>
        <w:tc>
          <w:tcPr>
            <w:tcW w:w="1753"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74.59%</w:t>
            </w:r>
          </w:p>
        </w:tc>
        <w:tc>
          <w:tcPr>
            <w:tcW w:w="1855"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48.67%</w:t>
            </w:r>
          </w:p>
        </w:tc>
        <w:tc>
          <w:tcPr>
            <w:tcW w:w="1691"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88.14%</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Brunswick</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58.17%</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84.1%</w:t>
            </w:r>
          </w:p>
        </w:tc>
        <w:tc>
          <w:tcPr>
            <w:tcW w:w="1855"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56.89%</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90.4%</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Bulleen</w:t>
            </w:r>
          </w:p>
        </w:tc>
        <w:tc>
          <w:tcPr>
            <w:tcW w:w="1892" w:type="dxa"/>
            <w:shd w:val="clear" w:color="auto" w:fill="FBD4B4" w:themeFill="accent6" w:themeFillTint="66"/>
            <w:vAlign w:val="center"/>
          </w:tcPr>
          <w:p w:rsidR="00A519B2" w:rsidRPr="00695B7B"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70.92%</w:t>
            </w:r>
          </w:p>
        </w:tc>
        <w:tc>
          <w:tcPr>
            <w:tcW w:w="1753" w:type="dxa"/>
            <w:shd w:val="clear" w:color="auto" w:fill="FBD4B4" w:themeFill="accent6" w:themeFillTint="66"/>
            <w:vAlign w:val="center"/>
          </w:tcPr>
          <w:p w:rsidR="00A519B2" w:rsidRPr="00695B7B"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88.19%</w:t>
            </w:r>
          </w:p>
        </w:tc>
        <w:tc>
          <w:tcPr>
            <w:tcW w:w="1855" w:type="dxa"/>
            <w:shd w:val="clear" w:color="auto" w:fill="FBD4B4" w:themeFill="accent6" w:themeFillTint="66"/>
            <w:vAlign w:val="center"/>
          </w:tcPr>
          <w:p w:rsidR="00A519B2" w:rsidRPr="00695B7B"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64.11%</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93.34%</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Bundoora</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63.86%</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85.9%</w:t>
            </w:r>
          </w:p>
        </w:tc>
        <w:tc>
          <w:tcPr>
            <w:tcW w:w="1855"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55.34%</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93.98%</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Buninyong</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61.96%</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86.59%</w:t>
            </w:r>
          </w:p>
        </w:tc>
        <w:tc>
          <w:tcPr>
            <w:tcW w:w="1855"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52.69%</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94.29%</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Burwood</w:t>
            </w:r>
          </w:p>
        </w:tc>
        <w:tc>
          <w:tcPr>
            <w:tcW w:w="1892"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67.91%</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85.81%</w:t>
            </w:r>
          </w:p>
        </w:tc>
        <w:tc>
          <w:tcPr>
            <w:tcW w:w="1855"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56.68%</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93.41%</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Carrum</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60.74%</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84.06%</w:t>
            </w:r>
          </w:p>
        </w:tc>
        <w:tc>
          <w:tcPr>
            <w:tcW w:w="1855"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52.46%</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93.21%</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Caulfield</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56.57%</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86.18%</w:t>
            </w:r>
          </w:p>
        </w:tc>
        <w:tc>
          <w:tcPr>
            <w:tcW w:w="1855"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59.17%</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90.66%</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Clarinda</w:t>
            </w:r>
          </w:p>
        </w:tc>
        <w:tc>
          <w:tcPr>
            <w:tcW w:w="1892" w:type="dxa"/>
            <w:shd w:val="clear" w:color="auto" w:fill="FBD4B4" w:themeFill="accent6" w:themeFillTint="66"/>
            <w:vAlign w:val="center"/>
          </w:tcPr>
          <w:p w:rsidR="00A519B2" w:rsidRPr="00695B7B"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68.49%</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82.49%</w:t>
            </w:r>
          </w:p>
        </w:tc>
        <w:tc>
          <w:tcPr>
            <w:tcW w:w="1855"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52.94%</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91.92%</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Cranbourne</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60.44%</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85.08%</w:t>
            </w:r>
          </w:p>
        </w:tc>
        <w:tc>
          <w:tcPr>
            <w:tcW w:w="1855"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56.12%</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93.42%</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Croydon</w:t>
            </w:r>
          </w:p>
        </w:tc>
        <w:tc>
          <w:tcPr>
            <w:tcW w:w="1892" w:type="dxa"/>
            <w:shd w:val="clear" w:color="auto" w:fill="FBD4B4" w:themeFill="accent6" w:themeFillTint="66"/>
            <w:vAlign w:val="center"/>
          </w:tcPr>
          <w:p w:rsidR="00A519B2" w:rsidRPr="00695B7B"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70.19%</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86.28%</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55.47%</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94.68%</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Dandenong</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53.41%</w:t>
            </w:r>
          </w:p>
        </w:tc>
        <w:tc>
          <w:tcPr>
            <w:tcW w:w="1753"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77.21%</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highlight w:val="magenta"/>
              </w:rPr>
            </w:pPr>
            <w:r w:rsidRPr="00E22FE9">
              <w:rPr>
                <w:rFonts w:ascii="Arial" w:hAnsi="Arial" w:cs="Arial"/>
              </w:rPr>
              <w:t>54.46%</w:t>
            </w:r>
          </w:p>
        </w:tc>
        <w:tc>
          <w:tcPr>
            <w:tcW w:w="1691"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89.62%</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Eildon</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58.79%</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87.76%</w:t>
            </w:r>
          </w:p>
        </w:tc>
        <w:tc>
          <w:tcPr>
            <w:tcW w:w="1855" w:type="dxa"/>
            <w:shd w:val="clear" w:color="auto" w:fill="FBD4B4" w:themeFill="accent6" w:themeFillTint="66"/>
            <w:vAlign w:val="center"/>
          </w:tcPr>
          <w:p w:rsidR="00A519B2" w:rsidRPr="00695B7B"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63.21%</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94.14%</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Eltham</w:t>
            </w:r>
          </w:p>
        </w:tc>
        <w:tc>
          <w:tcPr>
            <w:tcW w:w="1892"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76.55%</w:t>
            </w:r>
          </w:p>
        </w:tc>
        <w:tc>
          <w:tcPr>
            <w:tcW w:w="1753" w:type="dxa"/>
            <w:shd w:val="clear" w:color="auto" w:fill="FBD4B4" w:themeFill="accent6" w:themeFillTint="66"/>
            <w:vAlign w:val="center"/>
          </w:tcPr>
          <w:p w:rsidR="00A519B2" w:rsidRPr="00695B7B"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89.45%</w:t>
            </w:r>
          </w:p>
        </w:tc>
        <w:tc>
          <w:tcPr>
            <w:tcW w:w="1855" w:type="dxa"/>
            <w:shd w:val="clear" w:color="auto" w:fill="FBD4B4" w:themeFill="accent6" w:themeFillTint="66"/>
            <w:vAlign w:val="center"/>
          </w:tcPr>
          <w:p w:rsidR="00A519B2" w:rsidRPr="00695B7B"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95B7B">
              <w:rPr>
                <w:rFonts w:ascii="Arial" w:hAnsi="Arial" w:cs="Arial"/>
              </w:rPr>
              <w:t>63.91%</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94.91%</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Essendon</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62.54%</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86.52%</w:t>
            </w:r>
          </w:p>
        </w:tc>
        <w:tc>
          <w:tcPr>
            <w:tcW w:w="1855" w:type="dxa"/>
            <w:shd w:val="clear" w:color="auto" w:fill="FBD4B4" w:themeFill="accent6" w:themeFillTint="66"/>
            <w:vAlign w:val="center"/>
          </w:tcPr>
          <w:p w:rsidR="00A519B2" w:rsidRPr="00695B7B"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60.69%</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92.43%</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Euroa</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59.27%</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84.1%</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56.15%</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93.89%</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Evelyn</w:t>
            </w:r>
          </w:p>
        </w:tc>
        <w:tc>
          <w:tcPr>
            <w:tcW w:w="1892" w:type="dxa"/>
            <w:shd w:val="clear" w:color="auto" w:fill="FBD4B4" w:themeFill="accent6" w:themeFillTint="66"/>
            <w:vAlign w:val="center"/>
          </w:tcPr>
          <w:p w:rsidR="00A519B2" w:rsidRPr="00695B7B"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69.8%</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87.44%</w:t>
            </w:r>
          </w:p>
        </w:tc>
        <w:tc>
          <w:tcPr>
            <w:tcW w:w="1855" w:type="dxa"/>
            <w:shd w:val="clear" w:color="auto" w:fill="FBD4B4" w:themeFill="accent6" w:themeFillTint="66"/>
            <w:vAlign w:val="center"/>
          </w:tcPr>
          <w:p w:rsidR="00A519B2" w:rsidRPr="00695B7B"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95B7B">
              <w:rPr>
                <w:rFonts w:ascii="Arial" w:hAnsi="Arial" w:cs="Arial"/>
              </w:rPr>
              <w:t>60.7%</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94.98%</w:t>
            </w:r>
          </w:p>
        </w:tc>
      </w:tr>
    </w:tbl>
    <w:p w:rsidR="00437F33" w:rsidRDefault="00437F33">
      <w:r w:rsidRPr="00A14F9F">
        <w:rPr>
          <w:rFonts w:ascii="Arial" w:hAnsi="Arial" w:cs="Arial"/>
          <w:b/>
          <w:sz w:val="20"/>
          <w:szCs w:val="20"/>
        </w:rPr>
        <w:t xml:space="preserve">Table </w:t>
      </w:r>
      <w:r w:rsidR="00EF7208">
        <w:rPr>
          <w:rFonts w:ascii="Arial" w:hAnsi="Arial" w:cs="Arial"/>
          <w:b/>
          <w:sz w:val="20"/>
          <w:szCs w:val="20"/>
        </w:rPr>
        <w:t>8</w:t>
      </w:r>
      <w:r>
        <w:rPr>
          <w:rFonts w:ascii="Arial" w:hAnsi="Arial" w:cs="Arial"/>
          <w:b/>
          <w:sz w:val="20"/>
          <w:szCs w:val="20"/>
        </w:rPr>
        <w:t>.1</w:t>
      </w:r>
      <w:r w:rsidRPr="00A14F9F">
        <w:rPr>
          <w:rFonts w:ascii="Arial" w:hAnsi="Arial" w:cs="Arial"/>
          <w:b/>
          <w:sz w:val="20"/>
          <w:szCs w:val="20"/>
        </w:rPr>
        <w:t xml:space="preserve">: </w:t>
      </w:r>
      <w:r>
        <w:rPr>
          <w:rFonts w:ascii="Arial" w:hAnsi="Arial" w:cs="Arial"/>
          <w:b/>
          <w:sz w:val="20"/>
          <w:szCs w:val="20"/>
        </w:rPr>
        <w:t>Voter turnout by electoral district, 2014 State election</w:t>
      </w:r>
    </w:p>
    <w:tbl>
      <w:tblPr>
        <w:tblStyle w:val="LightList-Accent3"/>
        <w:tblW w:w="0" w:type="auto"/>
        <w:tblLook w:val="04A0" w:firstRow="1" w:lastRow="0" w:firstColumn="1" w:lastColumn="0" w:noHBand="0" w:noVBand="1"/>
        <w:tblCaption w:val="Table 8.2: voter turnout by electoral district, 2014 State election"/>
      </w:tblPr>
      <w:tblGrid>
        <w:gridCol w:w="2051"/>
        <w:gridCol w:w="1892"/>
        <w:gridCol w:w="1753"/>
        <w:gridCol w:w="1855"/>
        <w:gridCol w:w="1691"/>
      </w:tblGrid>
      <w:tr w:rsidR="00A519B2" w:rsidRPr="00E22FE9" w:rsidTr="00437F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vAlign w:val="center"/>
          </w:tcPr>
          <w:p w:rsidR="00A519B2" w:rsidRPr="00437F33" w:rsidRDefault="00A519B2" w:rsidP="00E22FE9">
            <w:pPr>
              <w:rPr>
                <w:rFonts w:ascii="Arial" w:hAnsi="Arial" w:cs="Arial"/>
                <w:b w:val="0"/>
                <w:color w:val="auto"/>
              </w:rPr>
            </w:pPr>
            <w:r w:rsidRPr="00437F33">
              <w:rPr>
                <w:rFonts w:ascii="Arial" w:hAnsi="Arial" w:cs="Arial"/>
                <w:b w:val="0"/>
                <w:color w:val="auto"/>
              </w:rPr>
              <w:lastRenderedPageBreak/>
              <w:t>Ferntree Gully</w:t>
            </w:r>
          </w:p>
        </w:tc>
        <w:tc>
          <w:tcPr>
            <w:tcW w:w="1892" w:type="dxa"/>
            <w:shd w:val="clear" w:color="auto" w:fill="FBD4B4" w:themeFill="accent6" w:themeFillTint="66"/>
            <w:vAlign w:val="center"/>
          </w:tcPr>
          <w:p w:rsidR="00A519B2" w:rsidRPr="00437F33"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70.13%</w:t>
            </w:r>
          </w:p>
        </w:tc>
        <w:tc>
          <w:tcPr>
            <w:tcW w:w="1753" w:type="dxa"/>
            <w:shd w:val="clear" w:color="auto" w:fill="auto"/>
            <w:vAlign w:val="center"/>
          </w:tcPr>
          <w:p w:rsidR="00A519B2" w:rsidRPr="00437F33"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85.89%</w:t>
            </w:r>
          </w:p>
        </w:tc>
        <w:tc>
          <w:tcPr>
            <w:tcW w:w="1855" w:type="dxa"/>
            <w:shd w:val="clear" w:color="auto" w:fill="D6E3BC" w:themeFill="accent3" w:themeFillTint="66"/>
            <w:vAlign w:val="center"/>
          </w:tcPr>
          <w:p w:rsidR="00A519B2" w:rsidRPr="00437F33" w:rsidRDefault="00344D72" w:rsidP="00E22FE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51.29%</w:t>
            </w:r>
          </w:p>
        </w:tc>
        <w:tc>
          <w:tcPr>
            <w:tcW w:w="1691" w:type="dxa"/>
            <w:shd w:val="clear" w:color="auto" w:fill="auto"/>
            <w:vAlign w:val="center"/>
          </w:tcPr>
          <w:p w:rsidR="00A519B2" w:rsidRPr="00437F33"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92.86%</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Footscray</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53.66%</w:t>
            </w:r>
          </w:p>
        </w:tc>
        <w:tc>
          <w:tcPr>
            <w:tcW w:w="1753"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80.08%</w:t>
            </w:r>
          </w:p>
        </w:tc>
        <w:tc>
          <w:tcPr>
            <w:tcW w:w="1855" w:type="dxa"/>
            <w:shd w:val="clear" w:color="auto" w:fill="D6E3BC" w:themeFill="accent3"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51.91%</w:t>
            </w:r>
          </w:p>
        </w:tc>
        <w:tc>
          <w:tcPr>
            <w:tcW w:w="1691"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89.53%</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Forest Hill</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76.5%</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85.81%</w:t>
            </w:r>
          </w:p>
        </w:tc>
        <w:tc>
          <w:tcPr>
            <w:tcW w:w="1855" w:type="dxa"/>
            <w:shd w:val="clear" w:color="auto" w:fill="FBD4B4" w:themeFill="accent6"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62.67%</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94.02%</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Frankston</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52.49%</w:t>
            </w:r>
          </w:p>
        </w:tc>
        <w:tc>
          <w:tcPr>
            <w:tcW w:w="1753"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81.3%</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53.71%</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91.99%</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Geelong</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59.26%</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86.82%</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58.47%</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93.89%</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Gembrook</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65.59%</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87.32%</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61.11%</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94.38%</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Gippsland East</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54.2%</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84.11%</w:t>
            </w:r>
          </w:p>
        </w:tc>
        <w:tc>
          <w:tcPr>
            <w:tcW w:w="1855" w:type="dxa"/>
            <w:shd w:val="clear" w:color="auto" w:fill="D6E3BC" w:themeFill="accent3"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50%</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93.58%</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Gippsland South</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59.46%</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85.9%</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59.93%</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Hastings</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58.97%</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85%</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55.94%</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93.83%</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Hawthorn</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62.35%</w:t>
            </w:r>
          </w:p>
        </w:tc>
        <w:tc>
          <w:tcPr>
            <w:tcW w:w="1753"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88.39%</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61.54%</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92.96%</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Ivanhoe</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66.06%</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87.07%</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53.77%</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92.85%</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Kew</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72.18%</w:t>
            </w:r>
          </w:p>
        </w:tc>
        <w:tc>
          <w:tcPr>
            <w:tcW w:w="1753"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89.37%</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58.54%</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93.68%</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Keysborough</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70.72%</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84.48%</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56.14%</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93.17%</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proofErr w:type="spellStart"/>
            <w:r w:rsidRPr="00E22FE9">
              <w:rPr>
                <w:rFonts w:ascii="Arial" w:hAnsi="Arial" w:cs="Arial"/>
                <w:b w:val="0"/>
              </w:rPr>
              <w:t>Kororoit</w:t>
            </w:r>
            <w:proofErr w:type="spellEnd"/>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64.05%</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81.99%</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52.99%</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92.05%</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Lara</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59.57%</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84.05%</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58.44%</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93.52%</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Lowan</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56.11%</w:t>
            </w:r>
          </w:p>
        </w:tc>
        <w:tc>
          <w:tcPr>
            <w:tcW w:w="1753"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88.08%</w:t>
            </w:r>
          </w:p>
        </w:tc>
        <w:tc>
          <w:tcPr>
            <w:tcW w:w="1855" w:type="dxa"/>
            <w:shd w:val="clear" w:color="auto" w:fill="D6E3BC" w:themeFill="accent3"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50%</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95.01%</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Macedon</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67.72%</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86.71%</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54.72%</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94.76%</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Malvern</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67.59%</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87.03%</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58.26%</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92.53%</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Melbourne</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48.18%</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82.03%</w:t>
            </w:r>
          </w:p>
        </w:tc>
        <w:tc>
          <w:tcPr>
            <w:tcW w:w="1855" w:type="dxa"/>
            <w:shd w:val="clear" w:color="auto" w:fill="D6E3BC" w:themeFill="accent3"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48.67%</w:t>
            </w:r>
          </w:p>
        </w:tc>
        <w:tc>
          <w:tcPr>
            <w:tcW w:w="1691"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87.54%</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Melton</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55.76%</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82.27%</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55.97%</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92.56%</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Mildura</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57.05%</w:t>
            </w:r>
          </w:p>
        </w:tc>
        <w:tc>
          <w:tcPr>
            <w:tcW w:w="1753"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81.91%</w:t>
            </w:r>
          </w:p>
        </w:tc>
        <w:tc>
          <w:tcPr>
            <w:tcW w:w="1855" w:type="dxa"/>
            <w:shd w:val="clear" w:color="auto" w:fill="D6E3BC" w:themeFill="accent3"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52.47%</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92.34%</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Mill Park</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65.45%</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85.37%</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56.18%</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94.14%</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Monbulk</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71.71%</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85.37%</w:t>
            </w:r>
          </w:p>
        </w:tc>
        <w:tc>
          <w:tcPr>
            <w:tcW w:w="1855" w:type="dxa"/>
            <w:shd w:val="clear" w:color="auto" w:fill="FBD4B4" w:themeFill="accent6"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62.1%</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94.48%</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Mordialloc</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67.68%</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87.44%</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60.55%</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94.01%</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Mornington</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65.85%</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88.71%</w:t>
            </w:r>
          </w:p>
        </w:tc>
        <w:tc>
          <w:tcPr>
            <w:tcW w:w="1855" w:type="dxa"/>
            <w:shd w:val="clear" w:color="auto" w:fill="FBD4B4" w:themeFill="accent6"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63.41%</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94.2%</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Morwell</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59.21%</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82.81%</w:t>
            </w:r>
          </w:p>
        </w:tc>
        <w:tc>
          <w:tcPr>
            <w:tcW w:w="1855" w:type="dxa"/>
            <w:shd w:val="clear" w:color="auto" w:fill="D6E3BC" w:themeFill="accent3"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52.32%</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93.4%</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Mount Waverley</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76.72%</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86.29%</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53.16%</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93.29%</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Mulgrave</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63.19%</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83.3%</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56.37%</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92.93%</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Murray Plains</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59.09%</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83.47%</w:t>
            </w:r>
          </w:p>
        </w:tc>
        <w:tc>
          <w:tcPr>
            <w:tcW w:w="1855" w:type="dxa"/>
            <w:shd w:val="clear" w:color="auto" w:fill="D6E3BC" w:themeFill="accent3"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51.11%</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93.73%</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proofErr w:type="spellStart"/>
            <w:r w:rsidRPr="00E22FE9">
              <w:rPr>
                <w:rFonts w:ascii="Arial" w:hAnsi="Arial" w:cs="Arial"/>
                <w:b w:val="0"/>
              </w:rPr>
              <w:t>Narracan</w:t>
            </w:r>
            <w:proofErr w:type="spellEnd"/>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61.36%</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85.66%</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55.36%</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94.07%</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Narre Warren North</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64.66%</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83.31%</w:t>
            </w:r>
          </w:p>
        </w:tc>
        <w:tc>
          <w:tcPr>
            <w:tcW w:w="1855" w:type="dxa"/>
            <w:shd w:val="clear" w:color="auto" w:fill="D6E3BC" w:themeFill="accent3"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52.61%</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92.61%</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Narre Warren South</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67.43%</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84.22%</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59.15%</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93.61%</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Nepean</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51%</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84.99%</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54.3%</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92.69%</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Niddrie</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71.23%</w:t>
            </w:r>
          </w:p>
        </w:tc>
        <w:tc>
          <w:tcPr>
            <w:tcW w:w="1753"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88.07%</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62.19%</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94.36%</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Northcote</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57.09%</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86.82%</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57.86%</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91.67%</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Oakleigh</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58.51%</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85.97%</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54.55%</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92.08%</w:t>
            </w:r>
          </w:p>
        </w:tc>
      </w:tr>
    </w:tbl>
    <w:p w:rsidR="00437F33" w:rsidRDefault="00437F33">
      <w:r w:rsidRPr="00A14F9F">
        <w:rPr>
          <w:rFonts w:ascii="Arial" w:hAnsi="Arial" w:cs="Arial"/>
          <w:b/>
          <w:sz w:val="20"/>
          <w:szCs w:val="20"/>
        </w:rPr>
        <w:t xml:space="preserve">Table </w:t>
      </w:r>
      <w:r w:rsidR="00EF7208">
        <w:rPr>
          <w:rFonts w:ascii="Arial" w:hAnsi="Arial" w:cs="Arial"/>
          <w:b/>
          <w:sz w:val="20"/>
          <w:szCs w:val="20"/>
        </w:rPr>
        <w:t>8</w:t>
      </w:r>
      <w:r>
        <w:rPr>
          <w:rFonts w:ascii="Arial" w:hAnsi="Arial" w:cs="Arial"/>
          <w:b/>
          <w:sz w:val="20"/>
          <w:szCs w:val="20"/>
        </w:rPr>
        <w:t>.2</w:t>
      </w:r>
      <w:r w:rsidRPr="00A14F9F">
        <w:rPr>
          <w:rFonts w:ascii="Arial" w:hAnsi="Arial" w:cs="Arial"/>
          <w:b/>
          <w:sz w:val="20"/>
          <w:szCs w:val="20"/>
        </w:rPr>
        <w:t xml:space="preserve">: </w:t>
      </w:r>
      <w:r>
        <w:rPr>
          <w:rFonts w:ascii="Arial" w:hAnsi="Arial" w:cs="Arial"/>
          <w:b/>
          <w:sz w:val="20"/>
          <w:szCs w:val="20"/>
        </w:rPr>
        <w:t>Voter turnout by electoral district, 2014 State election</w:t>
      </w:r>
    </w:p>
    <w:tbl>
      <w:tblPr>
        <w:tblStyle w:val="LightList-Accent3"/>
        <w:tblW w:w="0" w:type="auto"/>
        <w:tblLook w:val="04A0" w:firstRow="1" w:lastRow="0" w:firstColumn="1" w:lastColumn="0" w:noHBand="0" w:noVBand="1"/>
        <w:tblCaption w:val="Table 8.3: voter turnout by electoral district, 2014 State election"/>
      </w:tblPr>
      <w:tblGrid>
        <w:gridCol w:w="2051"/>
        <w:gridCol w:w="1892"/>
        <w:gridCol w:w="1753"/>
        <w:gridCol w:w="1855"/>
        <w:gridCol w:w="1691"/>
      </w:tblGrid>
      <w:tr w:rsidR="00A519B2" w:rsidRPr="00E22FE9" w:rsidTr="00437F33">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shd w:val="clear" w:color="auto" w:fill="auto"/>
            <w:vAlign w:val="center"/>
          </w:tcPr>
          <w:p w:rsidR="00A519B2" w:rsidRPr="00437F33" w:rsidRDefault="00A519B2" w:rsidP="00E22FE9">
            <w:pPr>
              <w:rPr>
                <w:rFonts w:ascii="Arial" w:hAnsi="Arial" w:cs="Arial"/>
                <w:b w:val="0"/>
                <w:color w:val="auto"/>
              </w:rPr>
            </w:pPr>
            <w:r w:rsidRPr="00437F33">
              <w:rPr>
                <w:rFonts w:ascii="Arial" w:hAnsi="Arial" w:cs="Arial"/>
                <w:b w:val="0"/>
                <w:color w:val="auto"/>
              </w:rPr>
              <w:lastRenderedPageBreak/>
              <w:t>Ovens Valley</w:t>
            </w:r>
          </w:p>
        </w:tc>
        <w:tc>
          <w:tcPr>
            <w:tcW w:w="1892" w:type="dxa"/>
            <w:shd w:val="clear" w:color="auto" w:fill="auto"/>
            <w:vAlign w:val="center"/>
          </w:tcPr>
          <w:p w:rsidR="00A519B2" w:rsidRPr="00437F33"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59.46%</w:t>
            </w:r>
          </w:p>
        </w:tc>
        <w:tc>
          <w:tcPr>
            <w:tcW w:w="1753" w:type="dxa"/>
            <w:shd w:val="clear" w:color="auto" w:fill="auto"/>
            <w:vAlign w:val="center"/>
          </w:tcPr>
          <w:p w:rsidR="00A519B2" w:rsidRPr="00437F33"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85.39%</w:t>
            </w:r>
          </w:p>
        </w:tc>
        <w:tc>
          <w:tcPr>
            <w:tcW w:w="1855" w:type="dxa"/>
            <w:shd w:val="clear" w:color="auto" w:fill="auto"/>
            <w:vAlign w:val="center"/>
          </w:tcPr>
          <w:p w:rsidR="00A519B2" w:rsidRPr="00437F33" w:rsidRDefault="00344D72" w:rsidP="00E22FE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56.99%</w:t>
            </w:r>
          </w:p>
        </w:tc>
        <w:tc>
          <w:tcPr>
            <w:tcW w:w="1691" w:type="dxa"/>
            <w:shd w:val="clear" w:color="auto" w:fill="auto"/>
            <w:vAlign w:val="center"/>
          </w:tcPr>
          <w:p w:rsidR="00A519B2" w:rsidRPr="00437F33" w:rsidRDefault="00A519B2" w:rsidP="00E22FE9">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437F33">
              <w:rPr>
                <w:rFonts w:ascii="Arial" w:hAnsi="Arial" w:cs="Arial"/>
                <w:b w:val="0"/>
                <w:color w:val="auto"/>
              </w:rPr>
              <w:t>93.67%</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Pascoe Vale</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61.66%</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83.96%</w:t>
            </w:r>
          </w:p>
        </w:tc>
        <w:tc>
          <w:tcPr>
            <w:tcW w:w="1855" w:type="dxa"/>
            <w:shd w:val="clear" w:color="auto" w:fill="D6E3BC" w:themeFill="accent3"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50.93%</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91.15%</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Polwarth</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58.19%</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86.9%</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55.35%</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94.88%</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Prahran</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52.93%</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83.76%</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highlight w:val="magenta"/>
              </w:rPr>
            </w:pPr>
            <w:r w:rsidRPr="00E22FE9">
              <w:rPr>
                <w:rFonts w:ascii="Arial" w:hAnsi="Arial" w:cs="Arial"/>
              </w:rPr>
              <w:t>55.62%</w:t>
            </w:r>
          </w:p>
        </w:tc>
        <w:tc>
          <w:tcPr>
            <w:tcW w:w="1691"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88.47%</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Preston</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53.4%</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82.77%</w:t>
            </w:r>
          </w:p>
        </w:tc>
        <w:tc>
          <w:tcPr>
            <w:tcW w:w="1855" w:type="dxa"/>
            <w:shd w:val="clear" w:color="auto" w:fill="D6E3BC" w:themeFill="accent3"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50.46%</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90.8%</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Richmond</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50.27%</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83.67%</w:t>
            </w:r>
          </w:p>
        </w:tc>
        <w:tc>
          <w:tcPr>
            <w:tcW w:w="1855" w:type="dxa"/>
            <w:vAlign w:val="center"/>
          </w:tcPr>
          <w:p w:rsidR="00A519B2" w:rsidRPr="00E22FE9"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highlight w:val="magenta"/>
              </w:rPr>
            </w:pPr>
            <w:r w:rsidRPr="00E22FE9">
              <w:rPr>
                <w:rFonts w:ascii="Arial" w:hAnsi="Arial" w:cs="Arial"/>
              </w:rPr>
              <w:t>58.76%</w:t>
            </w:r>
          </w:p>
        </w:tc>
        <w:tc>
          <w:tcPr>
            <w:tcW w:w="1691"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89.21%</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Ringwood</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65.65%</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86.9%</w:t>
            </w:r>
          </w:p>
        </w:tc>
        <w:tc>
          <w:tcPr>
            <w:tcW w:w="1855" w:type="dxa"/>
            <w:shd w:val="clear" w:color="auto" w:fill="FBD4B4" w:themeFill="accent6"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67.93%</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93.77%</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Ripon</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58.22%</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86.07%</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62.78%</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94.78%</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Rowville</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76.35%</w:t>
            </w:r>
          </w:p>
        </w:tc>
        <w:tc>
          <w:tcPr>
            <w:tcW w:w="1753"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88.07%</w:t>
            </w:r>
          </w:p>
        </w:tc>
        <w:tc>
          <w:tcPr>
            <w:tcW w:w="1855" w:type="dxa"/>
            <w:shd w:val="clear" w:color="auto" w:fill="FBD4B4" w:themeFill="accent6"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64.71%</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94.97%</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Sandringham</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70.23%</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87.41%</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59.28%</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93.4%</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Shepparton</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53.96%</w:t>
            </w:r>
          </w:p>
        </w:tc>
        <w:tc>
          <w:tcPr>
            <w:tcW w:w="1753"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81.83%</w:t>
            </w:r>
          </w:p>
        </w:tc>
        <w:tc>
          <w:tcPr>
            <w:tcW w:w="1855" w:type="dxa"/>
            <w:shd w:val="clear" w:color="auto" w:fill="D6E3BC" w:themeFill="accent3"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46.13%</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92.82%</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South Barwon</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68.03%</w:t>
            </w:r>
          </w:p>
        </w:tc>
        <w:tc>
          <w:tcPr>
            <w:tcW w:w="1753"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88.92%</w:t>
            </w:r>
          </w:p>
        </w:tc>
        <w:tc>
          <w:tcPr>
            <w:tcW w:w="1855" w:type="dxa"/>
            <w:shd w:val="clear" w:color="auto" w:fill="FBD4B4" w:themeFill="accent6"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66.15%</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94.89%</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South-West Coast</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61.08%</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87.8%</w:t>
            </w:r>
          </w:p>
        </w:tc>
        <w:tc>
          <w:tcPr>
            <w:tcW w:w="1855" w:type="dxa"/>
            <w:shd w:val="clear" w:color="auto" w:fill="FBD4B4" w:themeFill="accent6" w:themeFillTint="66"/>
            <w:vAlign w:val="center"/>
          </w:tcPr>
          <w:p w:rsidR="00A519B2" w:rsidRPr="000F4FA4"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59.14%</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94.93%</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St Albans</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56.22%</w:t>
            </w:r>
          </w:p>
        </w:tc>
        <w:tc>
          <w:tcPr>
            <w:tcW w:w="1753"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78.49%</w:t>
            </w:r>
          </w:p>
        </w:tc>
        <w:tc>
          <w:tcPr>
            <w:tcW w:w="1855" w:type="dxa"/>
            <w:shd w:val="clear" w:color="auto" w:fill="D6E3BC" w:themeFill="accent3"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51.28%</w:t>
            </w:r>
          </w:p>
        </w:tc>
        <w:tc>
          <w:tcPr>
            <w:tcW w:w="1691"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89.55%</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Sunbury</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67.35%</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85.39%</w:t>
            </w:r>
          </w:p>
        </w:tc>
        <w:tc>
          <w:tcPr>
            <w:tcW w:w="1855" w:type="dxa"/>
            <w:vAlign w:val="center"/>
          </w:tcPr>
          <w:p w:rsidR="00A519B2" w:rsidRPr="00E22FE9" w:rsidRDefault="00344D7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54.68%</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93.92%</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Sydenham</w:t>
            </w:r>
          </w:p>
        </w:tc>
        <w:tc>
          <w:tcPr>
            <w:tcW w:w="1892" w:type="dxa"/>
            <w:shd w:val="clear" w:color="auto" w:fill="FBD4B4" w:themeFill="accent6"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68.75%</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84.73%</w:t>
            </w:r>
          </w:p>
        </w:tc>
        <w:tc>
          <w:tcPr>
            <w:tcW w:w="1855" w:type="dxa"/>
            <w:shd w:val="clear" w:color="auto" w:fill="D6E3BC" w:themeFill="accent3" w:themeFillTint="66"/>
            <w:vAlign w:val="center"/>
          </w:tcPr>
          <w:p w:rsidR="00A519B2" w:rsidRPr="000F4FA4" w:rsidRDefault="00344D7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50.6%</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93.75%</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Tarneit</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59.7%</w:t>
            </w:r>
          </w:p>
        </w:tc>
        <w:tc>
          <w:tcPr>
            <w:tcW w:w="1753"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81.81%</w:t>
            </w:r>
          </w:p>
        </w:tc>
        <w:tc>
          <w:tcPr>
            <w:tcW w:w="1855" w:type="dxa"/>
            <w:vAlign w:val="center"/>
          </w:tcPr>
          <w:p w:rsidR="00A519B2" w:rsidRPr="00E22FE9" w:rsidRDefault="00446080"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57.5%</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92.23%</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Thomastown</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63.13%</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83.22%</w:t>
            </w:r>
          </w:p>
        </w:tc>
        <w:tc>
          <w:tcPr>
            <w:tcW w:w="1855" w:type="dxa"/>
            <w:vAlign w:val="center"/>
          </w:tcPr>
          <w:p w:rsidR="00A519B2" w:rsidRPr="00E22FE9" w:rsidRDefault="00446080"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54.98%</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92.27%</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Warrandyte</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78.39%</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87.8%</w:t>
            </w:r>
          </w:p>
        </w:tc>
        <w:tc>
          <w:tcPr>
            <w:tcW w:w="1855" w:type="dxa"/>
            <w:vAlign w:val="center"/>
          </w:tcPr>
          <w:p w:rsidR="00A519B2" w:rsidRPr="00E22FE9" w:rsidRDefault="00446080"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57.89%</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94.29%</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Wendouree</w:t>
            </w:r>
          </w:p>
        </w:tc>
        <w:tc>
          <w:tcPr>
            <w:tcW w:w="1892" w:type="dxa"/>
            <w:shd w:val="clear" w:color="auto" w:fill="D6E3BC" w:themeFill="accent3" w:themeFillTint="66"/>
            <w:vAlign w:val="center"/>
          </w:tcPr>
          <w:p w:rsidR="00A519B2" w:rsidRPr="000F4FA4"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56.21%</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86.87%</w:t>
            </w:r>
          </w:p>
        </w:tc>
        <w:tc>
          <w:tcPr>
            <w:tcW w:w="1855" w:type="dxa"/>
            <w:shd w:val="clear" w:color="auto" w:fill="D6E3BC" w:themeFill="accent3" w:themeFillTint="66"/>
            <w:vAlign w:val="center"/>
          </w:tcPr>
          <w:p w:rsidR="00A519B2" w:rsidRPr="000F4FA4" w:rsidRDefault="00446080"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52.38%</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94.19%</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Werribee</w:t>
            </w:r>
          </w:p>
        </w:tc>
        <w:tc>
          <w:tcPr>
            <w:tcW w:w="1892" w:type="dxa"/>
            <w:shd w:val="clear" w:color="auto" w:fill="D6E3BC" w:themeFill="accent3"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57.01%</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82.34%</w:t>
            </w:r>
          </w:p>
        </w:tc>
        <w:tc>
          <w:tcPr>
            <w:tcW w:w="1855" w:type="dxa"/>
            <w:shd w:val="clear" w:color="auto" w:fill="D6E3BC" w:themeFill="accent3" w:themeFillTint="66"/>
            <w:vAlign w:val="center"/>
          </w:tcPr>
          <w:p w:rsidR="00A519B2" w:rsidRPr="000F4FA4" w:rsidRDefault="00446080"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51.79%</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92.74%</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Williamstown</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61.65%</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84.59%</w:t>
            </w:r>
          </w:p>
        </w:tc>
        <w:tc>
          <w:tcPr>
            <w:tcW w:w="1855" w:type="dxa"/>
            <w:vAlign w:val="center"/>
          </w:tcPr>
          <w:p w:rsidR="00A519B2" w:rsidRPr="00E22FE9" w:rsidRDefault="00446080"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58.47%</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92.09%</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Yan Yean</w:t>
            </w:r>
          </w:p>
        </w:tc>
        <w:tc>
          <w:tcPr>
            <w:tcW w:w="1892"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68.03%</w:t>
            </w:r>
          </w:p>
        </w:tc>
        <w:tc>
          <w:tcPr>
            <w:tcW w:w="1753" w:type="dxa"/>
            <w:shd w:val="clear" w:color="auto" w:fill="FBD4B4" w:themeFill="accent6" w:themeFillTint="66"/>
            <w:vAlign w:val="center"/>
          </w:tcPr>
          <w:p w:rsidR="00A519B2" w:rsidRPr="000F4FA4"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88.04%</w:t>
            </w:r>
          </w:p>
        </w:tc>
        <w:tc>
          <w:tcPr>
            <w:tcW w:w="1855" w:type="dxa"/>
            <w:shd w:val="clear" w:color="auto" w:fill="FBD4B4" w:themeFill="accent6" w:themeFillTint="66"/>
            <w:vAlign w:val="center"/>
          </w:tcPr>
          <w:p w:rsidR="00A519B2" w:rsidRPr="000F4FA4" w:rsidRDefault="00446080"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0F4FA4">
              <w:rPr>
                <w:rFonts w:ascii="Arial" w:hAnsi="Arial" w:cs="Arial"/>
              </w:rPr>
              <w:t>60.75%</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95.36%</w:t>
            </w:r>
          </w:p>
        </w:tc>
      </w:tr>
      <w:tr w:rsidR="00A519B2" w:rsidRPr="00E22FE9" w:rsidTr="00437F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Yuroke</w:t>
            </w:r>
          </w:p>
        </w:tc>
        <w:tc>
          <w:tcPr>
            <w:tcW w:w="1892"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60.1%</w:t>
            </w:r>
          </w:p>
        </w:tc>
        <w:tc>
          <w:tcPr>
            <w:tcW w:w="1753"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82.66%</w:t>
            </w:r>
          </w:p>
        </w:tc>
        <w:tc>
          <w:tcPr>
            <w:tcW w:w="1855" w:type="dxa"/>
            <w:shd w:val="clear" w:color="auto" w:fill="D6E3BC" w:themeFill="accent3" w:themeFillTint="66"/>
            <w:vAlign w:val="center"/>
          </w:tcPr>
          <w:p w:rsidR="00A519B2" w:rsidRPr="000F4FA4" w:rsidRDefault="00446080"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F4FA4">
              <w:rPr>
                <w:rFonts w:ascii="Arial" w:hAnsi="Arial" w:cs="Arial"/>
              </w:rPr>
              <w:t>47.71%</w:t>
            </w:r>
          </w:p>
        </w:tc>
        <w:tc>
          <w:tcPr>
            <w:tcW w:w="1691" w:type="dxa"/>
            <w:vAlign w:val="center"/>
          </w:tcPr>
          <w:p w:rsidR="00A519B2" w:rsidRPr="00E22FE9" w:rsidRDefault="00A519B2" w:rsidP="00E22FE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22FE9">
              <w:rPr>
                <w:rFonts w:ascii="Arial" w:hAnsi="Arial" w:cs="Arial"/>
              </w:rPr>
              <w:t>92.44%</w:t>
            </w:r>
          </w:p>
        </w:tc>
      </w:tr>
      <w:tr w:rsidR="00A519B2" w:rsidRPr="00E22FE9" w:rsidTr="00437F33">
        <w:trPr>
          <w:trHeight w:val="340"/>
        </w:trPr>
        <w:tc>
          <w:tcPr>
            <w:cnfStyle w:val="001000000000" w:firstRow="0" w:lastRow="0" w:firstColumn="1" w:lastColumn="0" w:oddVBand="0" w:evenVBand="0" w:oddHBand="0" w:evenHBand="0" w:firstRowFirstColumn="0" w:firstRowLastColumn="0" w:lastRowFirstColumn="0" w:lastRowLastColumn="0"/>
            <w:tcW w:w="2051" w:type="dxa"/>
            <w:vAlign w:val="center"/>
          </w:tcPr>
          <w:p w:rsidR="00A519B2" w:rsidRPr="00E22FE9" w:rsidRDefault="00A519B2" w:rsidP="00E22FE9">
            <w:pPr>
              <w:rPr>
                <w:rFonts w:ascii="Arial" w:hAnsi="Arial" w:cs="Arial"/>
                <w:b w:val="0"/>
              </w:rPr>
            </w:pPr>
            <w:r w:rsidRPr="00E22FE9">
              <w:rPr>
                <w:rFonts w:ascii="Arial" w:hAnsi="Arial" w:cs="Arial"/>
                <w:b w:val="0"/>
              </w:rPr>
              <w:t>Victoria</w:t>
            </w:r>
          </w:p>
        </w:tc>
        <w:tc>
          <w:tcPr>
            <w:tcW w:w="1892"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61.73%</w:t>
            </w:r>
          </w:p>
        </w:tc>
        <w:tc>
          <w:tcPr>
            <w:tcW w:w="1753"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84.98%</w:t>
            </w:r>
          </w:p>
        </w:tc>
        <w:tc>
          <w:tcPr>
            <w:tcW w:w="1855" w:type="dxa"/>
            <w:vAlign w:val="center"/>
          </w:tcPr>
          <w:p w:rsidR="00A519B2" w:rsidRPr="00E22FE9" w:rsidRDefault="00446080"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55.97%</w:t>
            </w:r>
          </w:p>
        </w:tc>
        <w:tc>
          <w:tcPr>
            <w:tcW w:w="1691" w:type="dxa"/>
            <w:vAlign w:val="center"/>
          </w:tcPr>
          <w:p w:rsidR="00A519B2" w:rsidRPr="00E22FE9" w:rsidRDefault="00A519B2" w:rsidP="00E22FE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93.01%</w:t>
            </w:r>
          </w:p>
        </w:tc>
      </w:tr>
    </w:tbl>
    <w:p w:rsidR="00DB5AF0" w:rsidRDefault="00DB5AF0" w:rsidP="00DB5AF0">
      <w:pPr>
        <w:rPr>
          <w:rFonts w:ascii="Arial" w:hAnsi="Arial" w:cs="Arial"/>
          <w:b/>
          <w:sz w:val="20"/>
          <w:szCs w:val="20"/>
        </w:rPr>
      </w:pPr>
      <w:r w:rsidRPr="00A14F9F">
        <w:rPr>
          <w:rFonts w:ascii="Arial" w:hAnsi="Arial" w:cs="Arial"/>
          <w:b/>
          <w:sz w:val="20"/>
          <w:szCs w:val="20"/>
        </w:rPr>
        <w:t xml:space="preserve">Table </w:t>
      </w:r>
      <w:r w:rsidR="00EF7208">
        <w:rPr>
          <w:rFonts w:ascii="Arial" w:hAnsi="Arial" w:cs="Arial"/>
          <w:b/>
          <w:sz w:val="20"/>
          <w:szCs w:val="20"/>
        </w:rPr>
        <w:t>8</w:t>
      </w:r>
      <w:r w:rsidR="00437F33">
        <w:rPr>
          <w:rFonts w:ascii="Arial" w:hAnsi="Arial" w:cs="Arial"/>
          <w:b/>
          <w:sz w:val="20"/>
          <w:szCs w:val="20"/>
        </w:rPr>
        <w:t>.3</w:t>
      </w:r>
      <w:r w:rsidRPr="00A14F9F">
        <w:rPr>
          <w:rFonts w:ascii="Arial" w:hAnsi="Arial" w:cs="Arial"/>
          <w:b/>
          <w:sz w:val="20"/>
          <w:szCs w:val="20"/>
        </w:rPr>
        <w:t xml:space="preserve">: </w:t>
      </w:r>
      <w:r>
        <w:rPr>
          <w:rFonts w:ascii="Arial" w:hAnsi="Arial" w:cs="Arial"/>
          <w:b/>
          <w:sz w:val="20"/>
          <w:szCs w:val="20"/>
        </w:rPr>
        <w:t>Voter turnout by electoral district, 2014 State election</w:t>
      </w:r>
    </w:p>
    <w:p w:rsidR="005966FD" w:rsidRDefault="009D6CF9" w:rsidP="008F0E33">
      <w:pPr>
        <w:rPr>
          <w:rFonts w:ascii="Arial" w:hAnsi="Arial" w:cs="Arial"/>
        </w:rPr>
      </w:pPr>
      <w:r>
        <w:rPr>
          <w:rFonts w:ascii="Arial" w:hAnsi="Arial" w:cs="Arial"/>
        </w:rPr>
        <w:t>Voter turnout by directly enrolled new electors ranged from 48.18% in Melbourne District to 78.39% in Warrandyte</w:t>
      </w:r>
      <w:r w:rsidR="00FA5047">
        <w:rPr>
          <w:rFonts w:ascii="Arial" w:hAnsi="Arial" w:cs="Arial"/>
        </w:rPr>
        <w:t xml:space="preserve"> District</w:t>
      </w:r>
      <w:r>
        <w:rPr>
          <w:rFonts w:ascii="Arial" w:hAnsi="Arial" w:cs="Arial"/>
        </w:rPr>
        <w:t xml:space="preserve">. Voter turnout was lowest in inner suburban districts, which have a </w:t>
      </w:r>
      <w:r w:rsidR="00FD2458">
        <w:rPr>
          <w:rFonts w:ascii="Arial" w:hAnsi="Arial" w:cs="Arial"/>
        </w:rPr>
        <w:t xml:space="preserve">young, </w:t>
      </w:r>
      <w:r>
        <w:rPr>
          <w:rFonts w:ascii="Arial" w:hAnsi="Arial" w:cs="Arial"/>
        </w:rPr>
        <w:t>mobile population, and in some districts with high proportions of residents speaking languages other than English</w:t>
      </w:r>
      <w:r w:rsidR="00CF4892">
        <w:rPr>
          <w:rFonts w:ascii="Arial" w:hAnsi="Arial" w:cs="Arial"/>
        </w:rPr>
        <w:t>.</w:t>
      </w:r>
      <w:r>
        <w:rPr>
          <w:rFonts w:ascii="Arial" w:hAnsi="Arial" w:cs="Arial"/>
        </w:rPr>
        <w:t xml:space="preserve"> </w:t>
      </w:r>
      <w:r w:rsidR="00CF4892">
        <w:rPr>
          <w:rFonts w:ascii="Arial" w:hAnsi="Arial" w:cs="Arial"/>
        </w:rPr>
        <w:t>S</w:t>
      </w:r>
      <w:r>
        <w:rPr>
          <w:rFonts w:ascii="Arial" w:hAnsi="Arial" w:cs="Arial"/>
        </w:rPr>
        <w:t xml:space="preserve">omewhat </w:t>
      </w:r>
      <w:r w:rsidR="00CF4892">
        <w:rPr>
          <w:rFonts w:ascii="Arial" w:hAnsi="Arial" w:cs="Arial"/>
        </w:rPr>
        <w:t xml:space="preserve">surprisingly, </w:t>
      </w:r>
      <w:r>
        <w:rPr>
          <w:rFonts w:ascii="Arial" w:hAnsi="Arial" w:cs="Arial"/>
        </w:rPr>
        <w:t>a number o</w:t>
      </w:r>
      <w:r w:rsidR="00CF4892">
        <w:rPr>
          <w:rFonts w:ascii="Arial" w:hAnsi="Arial" w:cs="Arial"/>
        </w:rPr>
        <w:t>f sparsely populated country districts such as Lowan and Gippsland East also had comparatively low participation rates. Voter turnout was highest in established suburbs on the eastern side of Melbourne, and in some urban-rural fringe districts.</w:t>
      </w:r>
    </w:p>
    <w:p w:rsidR="003279DF" w:rsidRDefault="00CF4892" w:rsidP="008F0E33">
      <w:pPr>
        <w:rPr>
          <w:rFonts w:ascii="Arial" w:hAnsi="Arial" w:cs="Arial"/>
        </w:rPr>
      </w:pPr>
      <w:r>
        <w:rPr>
          <w:rFonts w:ascii="Arial" w:hAnsi="Arial" w:cs="Arial"/>
        </w:rPr>
        <w:t>Voter turnout by electors whose enrolment had been directly updated ranged from 74.59% in Broadmeadows District to 89.45% in Eltham</w:t>
      </w:r>
      <w:r w:rsidR="00FA5047">
        <w:rPr>
          <w:rFonts w:ascii="Arial" w:hAnsi="Arial" w:cs="Arial"/>
        </w:rPr>
        <w:t xml:space="preserve"> District</w:t>
      </w:r>
      <w:r>
        <w:rPr>
          <w:rFonts w:ascii="Arial" w:hAnsi="Arial" w:cs="Arial"/>
        </w:rPr>
        <w:t xml:space="preserve">. These electors showed less variation, probably because they </w:t>
      </w:r>
      <w:r w:rsidR="006B441E">
        <w:rPr>
          <w:rFonts w:ascii="Arial" w:hAnsi="Arial" w:cs="Arial"/>
        </w:rPr>
        <w:t xml:space="preserve">were </w:t>
      </w:r>
      <w:r>
        <w:rPr>
          <w:rFonts w:ascii="Arial" w:hAnsi="Arial" w:cs="Arial"/>
        </w:rPr>
        <w:t xml:space="preserve">a much larger group. </w:t>
      </w:r>
      <w:r w:rsidR="006B441E">
        <w:rPr>
          <w:rFonts w:ascii="Arial" w:hAnsi="Arial" w:cs="Arial"/>
        </w:rPr>
        <w:t>As with new electors, voter turnout was highest in the eastern suburbs. Voter participation by this group in the inner suburbs was close to the State average. It was lowest in ethnically diverse districts in the metropolitan area and in the country (Mildura and Shepparton).</w:t>
      </w:r>
    </w:p>
    <w:p w:rsidR="003279DF" w:rsidRDefault="003279DF">
      <w:pPr>
        <w:rPr>
          <w:rFonts w:ascii="Arial" w:hAnsi="Arial" w:cs="Arial"/>
        </w:rPr>
      </w:pPr>
      <w:r>
        <w:rPr>
          <w:rFonts w:ascii="Arial" w:hAnsi="Arial" w:cs="Arial"/>
        </w:rPr>
        <w:br w:type="page"/>
      </w:r>
    </w:p>
    <w:p w:rsidR="003279DF" w:rsidRDefault="003279DF">
      <w:pPr>
        <w:rPr>
          <w:rFonts w:ascii="Arial" w:hAnsi="Arial" w:cs="Arial"/>
          <w:i/>
        </w:rPr>
      </w:pPr>
      <w:r>
        <w:rPr>
          <w:rFonts w:ascii="Arial" w:hAnsi="Arial" w:cs="Arial"/>
          <w:i/>
        </w:rPr>
        <w:lastRenderedPageBreak/>
        <w:t>Insert D17/24813</w:t>
      </w:r>
      <w:r>
        <w:rPr>
          <w:rFonts w:ascii="Arial" w:hAnsi="Arial" w:cs="Arial"/>
          <w:i/>
        </w:rPr>
        <w:br w:type="page"/>
      </w:r>
      <w:r w:rsidR="00F06695">
        <w:rPr>
          <w:rFonts w:ascii="Arial" w:hAnsi="Arial" w:cs="Arial"/>
          <w:i/>
          <w:noProof/>
          <w:lang w:eastAsia="en-AU"/>
        </w:rPr>
        <w:drawing>
          <wp:anchor distT="0" distB="0" distL="114300" distR="114300" simplePos="0" relativeHeight="251663360" behindDoc="0" locked="0" layoutInCell="1" allowOverlap="1">
            <wp:simplePos x="0" y="0"/>
            <wp:positionH relativeFrom="page">
              <wp:align>center</wp:align>
            </wp:positionH>
            <wp:positionV relativeFrom="paragraph">
              <wp:posOffset>0</wp:posOffset>
            </wp:positionV>
            <wp:extent cx="5731200" cy="7959600"/>
            <wp:effectExtent l="0" t="0" r="3175" b="3810"/>
            <wp:wrapNone/>
            <wp:docPr id="8" name="Picture 8" title="Diagram of directly enrolled new electors voter turnout: 2014 State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ly Enroled new electors - Voter turnout 2017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200" cy="7959600"/>
                    </a:xfrm>
                    <a:prstGeom prst="rect">
                      <a:avLst/>
                    </a:prstGeom>
                  </pic:spPr>
                </pic:pic>
              </a:graphicData>
            </a:graphic>
            <wp14:sizeRelH relativeFrom="page">
              <wp14:pctWidth>0</wp14:pctWidth>
            </wp14:sizeRelH>
            <wp14:sizeRelV relativeFrom="page">
              <wp14:pctHeight>0</wp14:pctHeight>
            </wp14:sizeRelV>
          </wp:anchor>
        </w:drawing>
      </w:r>
    </w:p>
    <w:p w:rsidR="00D42178" w:rsidRDefault="00D42178" w:rsidP="008F0E33">
      <w:pPr>
        <w:rPr>
          <w:rFonts w:ascii="Arial" w:hAnsi="Arial" w:cs="Arial"/>
        </w:rPr>
      </w:pPr>
      <w:r>
        <w:rPr>
          <w:rFonts w:ascii="Arial" w:hAnsi="Arial" w:cs="Arial"/>
        </w:rPr>
        <w:lastRenderedPageBreak/>
        <w:t>Reinstated electors had the lowest voter turnout, with the very lowest in Benambra District (46.25%) and the highest in Ringwood District (67.93%). Seven districts had a voter turnout rate of 50% or less.</w:t>
      </w:r>
      <w:r w:rsidR="009F45C3">
        <w:rPr>
          <w:rFonts w:ascii="Arial" w:hAnsi="Arial" w:cs="Arial"/>
        </w:rPr>
        <w:t xml:space="preserve"> The voting pattern was inconsistent, but turnout tended to be lowest in parts of inner Melbourne, in the more ethnically diverse suburbs, and in the outer rural districts, and was highest in districts </w:t>
      </w:r>
      <w:r w:rsidR="00465F44">
        <w:rPr>
          <w:rFonts w:ascii="Arial" w:hAnsi="Arial" w:cs="Arial"/>
        </w:rPr>
        <w:t>i</w:t>
      </w:r>
      <w:r w:rsidR="009F45C3">
        <w:rPr>
          <w:rFonts w:ascii="Arial" w:hAnsi="Arial" w:cs="Arial"/>
        </w:rPr>
        <w:t>n the eastern metropolitan area.</w:t>
      </w:r>
    </w:p>
    <w:p w:rsidR="006B441E" w:rsidRDefault="006B441E" w:rsidP="008F0E33">
      <w:pPr>
        <w:rPr>
          <w:rFonts w:ascii="Arial" w:hAnsi="Arial" w:cs="Arial"/>
        </w:rPr>
      </w:pPr>
      <w:r>
        <w:rPr>
          <w:rFonts w:ascii="Arial" w:hAnsi="Arial" w:cs="Arial"/>
        </w:rPr>
        <w:t>Voter turnout by electors in general ranged from 87.54% in Melbourne District to 95.38% in Bellarine</w:t>
      </w:r>
      <w:r w:rsidR="00FA5047">
        <w:rPr>
          <w:rFonts w:ascii="Arial" w:hAnsi="Arial" w:cs="Arial"/>
        </w:rPr>
        <w:t xml:space="preserve"> District</w:t>
      </w:r>
      <w:r>
        <w:rPr>
          <w:rFonts w:ascii="Arial" w:hAnsi="Arial" w:cs="Arial"/>
        </w:rPr>
        <w:t xml:space="preserve">. </w:t>
      </w:r>
      <w:r w:rsidR="00C16D4E">
        <w:rPr>
          <w:rFonts w:ascii="Arial" w:hAnsi="Arial" w:cs="Arial"/>
        </w:rPr>
        <w:t xml:space="preserve">Variations were much more muted than in the smaller groups, but there were similar patterns. The lowest voter turnout was in the mobile inner suburbs and in some ethnically diverse </w:t>
      </w:r>
      <w:r w:rsidR="00FA5047">
        <w:rPr>
          <w:rFonts w:ascii="Arial" w:hAnsi="Arial" w:cs="Arial"/>
        </w:rPr>
        <w:t>district</w:t>
      </w:r>
      <w:r w:rsidR="00C16D4E">
        <w:rPr>
          <w:rFonts w:ascii="Arial" w:hAnsi="Arial" w:cs="Arial"/>
        </w:rPr>
        <w:t xml:space="preserve">s such as Dandenong and St Albans. Voter turnout was higher in </w:t>
      </w:r>
      <w:r w:rsidR="00247657">
        <w:rPr>
          <w:rFonts w:ascii="Arial" w:hAnsi="Arial" w:cs="Arial"/>
        </w:rPr>
        <w:t xml:space="preserve">the </w:t>
      </w:r>
      <w:r w:rsidR="00C16D4E">
        <w:rPr>
          <w:rFonts w:ascii="Arial" w:hAnsi="Arial" w:cs="Arial"/>
        </w:rPr>
        <w:t>eastern suburbs, outer suburban growth areas such as Yan Yean, and country electorates such as Lowan.</w:t>
      </w:r>
    </w:p>
    <w:p w:rsidR="00247657" w:rsidRDefault="00247657">
      <w:pPr>
        <w:rPr>
          <w:rFonts w:ascii="Arial" w:hAnsi="Arial" w:cs="Arial"/>
        </w:rPr>
      </w:pPr>
      <w:r>
        <w:rPr>
          <w:rFonts w:ascii="Arial" w:hAnsi="Arial" w:cs="Arial"/>
        </w:rPr>
        <w:br w:type="page"/>
      </w:r>
    </w:p>
    <w:p w:rsidR="00247657" w:rsidRPr="00FF5D90" w:rsidRDefault="00247657" w:rsidP="00247657">
      <w:pPr>
        <w:pStyle w:val="Heading2"/>
        <w:rPr>
          <w:rFonts w:ascii="Arial" w:hAnsi="Arial" w:cs="Arial"/>
          <w:color w:val="7D922E"/>
          <w:sz w:val="28"/>
          <w:szCs w:val="28"/>
        </w:rPr>
      </w:pPr>
      <w:bookmarkStart w:id="13" w:name="_Toc491857288"/>
      <w:r w:rsidRPr="00FF5D90">
        <w:rPr>
          <w:rFonts w:ascii="Arial" w:hAnsi="Arial" w:cs="Arial"/>
          <w:color w:val="7D922E"/>
          <w:sz w:val="28"/>
          <w:szCs w:val="28"/>
        </w:rPr>
        <w:lastRenderedPageBreak/>
        <w:t>4. Feedback from directly enrolled electors</w:t>
      </w:r>
      <w:bookmarkEnd w:id="13"/>
    </w:p>
    <w:p w:rsidR="00247657" w:rsidRDefault="00247657" w:rsidP="008F0E33">
      <w:pPr>
        <w:rPr>
          <w:rFonts w:ascii="Arial" w:hAnsi="Arial" w:cs="Arial"/>
        </w:rPr>
      </w:pPr>
      <w:r>
        <w:rPr>
          <w:rFonts w:ascii="Arial" w:hAnsi="Arial" w:cs="Arial"/>
        </w:rPr>
        <w:t xml:space="preserve">It was </w:t>
      </w:r>
      <w:r w:rsidR="00585611">
        <w:rPr>
          <w:rFonts w:ascii="Arial" w:hAnsi="Arial" w:cs="Arial"/>
        </w:rPr>
        <w:t xml:space="preserve">important </w:t>
      </w:r>
      <w:r>
        <w:rPr>
          <w:rFonts w:ascii="Arial" w:hAnsi="Arial" w:cs="Arial"/>
        </w:rPr>
        <w:t xml:space="preserve">to learn the views of electors themselves about direct enrolment. </w:t>
      </w:r>
      <w:r w:rsidR="00585611">
        <w:rPr>
          <w:rFonts w:ascii="Arial" w:hAnsi="Arial" w:cs="Arial"/>
        </w:rPr>
        <w:t>I</w:t>
      </w:r>
      <w:r>
        <w:rPr>
          <w:rFonts w:ascii="Arial" w:hAnsi="Arial" w:cs="Arial"/>
        </w:rPr>
        <w:t>n August 2016 the VEC wrote to 4,000 randomly selected directly enrolled electors (2,00</w:t>
      </w:r>
      <w:r w:rsidR="00585611">
        <w:rPr>
          <w:rFonts w:ascii="Arial" w:hAnsi="Arial" w:cs="Arial"/>
        </w:rPr>
        <w:t>0</w:t>
      </w:r>
      <w:r>
        <w:rPr>
          <w:rFonts w:ascii="Arial" w:hAnsi="Arial" w:cs="Arial"/>
        </w:rPr>
        <w:t xml:space="preserve"> each </w:t>
      </w:r>
      <w:r w:rsidR="00BD16A4">
        <w:rPr>
          <w:rFonts w:ascii="Arial" w:hAnsi="Arial" w:cs="Arial"/>
        </w:rPr>
        <w:t xml:space="preserve">of </w:t>
      </w:r>
      <w:r>
        <w:rPr>
          <w:rFonts w:ascii="Arial" w:hAnsi="Arial" w:cs="Arial"/>
        </w:rPr>
        <w:t xml:space="preserve">new enrolments and address updates), inviting them to complete an online survey. To encourage participation, the VEC offered the chance to win one of three </w:t>
      </w:r>
      <w:r w:rsidR="00585611">
        <w:rPr>
          <w:rFonts w:ascii="Arial" w:hAnsi="Arial" w:cs="Arial"/>
        </w:rPr>
        <w:t>$300 Coles-Myer vouchers.</w:t>
      </w:r>
    </w:p>
    <w:p w:rsidR="0064022E" w:rsidRDefault="005F1794" w:rsidP="008F0E33">
      <w:pPr>
        <w:rPr>
          <w:rFonts w:ascii="Arial" w:hAnsi="Arial" w:cs="Arial"/>
          <w:b/>
          <w:i/>
        </w:rPr>
      </w:pPr>
      <w:r>
        <w:rPr>
          <w:rFonts w:ascii="Arial" w:hAnsi="Arial" w:cs="Arial"/>
        </w:rPr>
        <w:t xml:space="preserve">There were 159 responses from newly enrolled electors, and 95 from electors whose address had been updated. Respondents to a survey will inevitably be more engaged than the general population. </w:t>
      </w:r>
      <w:r w:rsidR="00F439EF">
        <w:rPr>
          <w:rFonts w:ascii="Arial" w:hAnsi="Arial" w:cs="Arial"/>
        </w:rPr>
        <w:t>The survey respondents were more likely to be born in Australia (79%) than Victorians as a whole (65% at the 2016 census), and were more likely to speak English at home (86% compared to 68% for all Victorians</w:t>
      </w:r>
      <w:r w:rsidR="00DE2A8C">
        <w:rPr>
          <w:rFonts w:ascii="Arial" w:hAnsi="Arial" w:cs="Arial"/>
        </w:rPr>
        <w:t>)</w:t>
      </w:r>
      <w:r w:rsidR="00F439EF">
        <w:rPr>
          <w:rFonts w:ascii="Arial" w:hAnsi="Arial" w:cs="Arial"/>
        </w:rPr>
        <w:t xml:space="preserve">. </w:t>
      </w:r>
      <w:r w:rsidR="00DE2A8C">
        <w:rPr>
          <w:rFonts w:ascii="Arial" w:hAnsi="Arial" w:cs="Arial"/>
        </w:rPr>
        <w:t xml:space="preserve">Most survey respondents were female (58%), unlike directly enrolled electors as a whole. </w:t>
      </w:r>
      <w:r>
        <w:rPr>
          <w:rFonts w:ascii="Arial" w:hAnsi="Arial" w:cs="Arial"/>
        </w:rPr>
        <w:t xml:space="preserve">In </w:t>
      </w:r>
      <w:r w:rsidR="00F439EF">
        <w:rPr>
          <w:rFonts w:ascii="Arial" w:hAnsi="Arial" w:cs="Arial"/>
        </w:rPr>
        <w:t xml:space="preserve">terms of income </w:t>
      </w:r>
      <w:r w:rsidR="00DE2A8C">
        <w:rPr>
          <w:rFonts w:ascii="Arial" w:hAnsi="Arial" w:cs="Arial"/>
        </w:rPr>
        <w:t xml:space="preserve">and geographic </w:t>
      </w:r>
      <w:r w:rsidR="00F439EF">
        <w:rPr>
          <w:rFonts w:ascii="Arial" w:hAnsi="Arial" w:cs="Arial"/>
        </w:rPr>
        <w:t>distribution,</w:t>
      </w:r>
      <w:r>
        <w:rPr>
          <w:rFonts w:ascii="Arial" w:hAnsi="Arial" w:cs="Arial"/>
        </w:rPr>
        <w:t xml:space="preserve"> </w:t>
      </w:r>
      <w:r w:rsidR="00F748C0">
        <w:rPr>
          <w:rFonts w:ascii="Arial" w:hAnsi="Arial" w:cs="Arial"/>
        </w:rPr>
        <w:t xml:space="preserve">though, </w:t>
      </w:r>
      <w:r>
        <w:rPr>
          <w:rFonts w:ascii="Arial" w:hAnsi="Arial" w:cs="Arial"/>
        </w:rPr>
        <w:t>the respondents to these surveys were br</w:t>
      </w:r>
      <w:r w:rsidR="00897284">
        <w:rPr>
          <w:rFonts w:ascii="Arial" w:hAnsi="Arial" w:cs="Arial"/>
        </w:rPr>
        <w:t>o</w:t>
      </w:r>
      <w:r>
        <w:rPr>
          <w:rFonts w:ascii="Arial" w:hAnsi="Arial" w:cs="Arial"/>
        </w:rPr>
        <w:t xml:space="preserve">adly similar to Victorians </w:t>
      </w:r>
      <w:r w:rsidR="00F439EF">
        <w:rPr>
          <w:rFonts w:ascii="Arial" w:hAnsi="Arial" w:cs="Arial"/>
        </w:rPr>
        <w:t xml:space="preserve">in general. </w:t>
      </w:r>
    </w:p>
    <w:p w:rsidR="00EA2306" w:rsidRDefault="007D4835" w:rsidP="008F0E33">
      <w:pPr>
        <w:rPr>
          <w:rFonts w:ascii="Arial" w:hAnsi="Arial" w:cs="Arial"/>
        </w:rPr>
      </w:pPr>
      <w:r>
        <w:rPr>
          <w:rFonts w:ascii="Arial" w:hAnsi="Arial" w:cs="Arial"/>
        </w:rPr>
        <w:t xml:space="preserve">The surveys tested electors’ knowledge of </w:t>
      </w:r>
      <w:r w:rsidR="00EA2306">
        <w:rPr>
          <w:rFonts w:ascii="Arial" w:hAnsi="Arial" w:cs="Arial"/>
        </w:rPr>
        <w:t>enrolment</w:t>
      </w:r>
      <w:r>
        <w:rPr>
          <w:rFonts w:ascii="Arial" w:hAnsi="Arial" w:cs="Arial"/>
        </w:rPr>
        <w:t xml:space="preserve">, the reasons why they had not already enrolled or updated their enrolment, and their attitudes to enrolment and voting. </w:t>
      </w:r>
      <w:r w:rsidR="00EA2306">
        <w:rPr>
          <w:rFonts w:ascii="Arial" w:hAnsi="Arial" w:cs="Arial"/>
        </w:rPr>
        <w:t>Respondents to the survey of newly enrolled electors generally knew that it is compulsory to enrol, with 86% answering that enrolment is compulsory and only 7% thinking that it is not. Most respondents (64%) were aware that the VEC had directly enrolled them, though 28% did not know. Respondents gave a range of reasons as to why they had not enrolled themselves:</w:t>
      </w:r>
    </w:p>
    <w:tbl>
      <w:tblPr>
        <w:tblStyle w:val="LightList-Accent3"/>
        <w:tblW w:w="0" w:type="auto"/>
        <w:tblLook w:val="04A0" w:firstRow="1" w:lastRow="0" w:firstColumn="1" w:lastColumn="0" w:noHBand="0" w:noVBand="1"/>
        <w:tblCaption w:val="Table 9: reasons why directly enrolled electors had not enrolled. "/>
      </w:tblPr>
      <w:tblGrid>
        <w:gridCol w:w="4621"/>
        <w:gridCol w:w="4621"/>
      </w:tblGrid>
      <w:tr w:rsidR="00EA2306" w:rsidRPr="00E22FE9" w:rsidTr="00E22FE9">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A2306" w:rsidRPr="00E22FE9" w:rsidRDefault="00EA2306" w:rsidP="00E22FE9">
            <w:pPr>
              <w:rPr>
                <w:rFonts w:ascii="Arial" w:hAnsi="Arial" w:cs="Arial"/>
              </w:rPr>
            </w:pPr>
            <w:r w:rsidRPr="00E22FE9">
              <w:rPr>
                <w:rFonts w:ascii="Arial" w:hAnsi="Arial" w:cs="Arial"/>
              </w:rPr>
              <w:t>Reason for not enrolling</w:t>
            </w:r>
          </w:p>
        </w:tc>
        <w:tc>
          <w:tcPr>
            <w:tcW w:w="4621" w:type="dxa"/>
            <w:vAlign w:val="center"/>
          </w:tcPr>
          <w:p w:rsidR="00EA2306" w:rsidRPr="00E22FE9" w:rsidRDefault="00EA2306" w:rsidP="00E22FE9">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E22FE9">
              <w:rPr>
                <w:rFonts w:ascii="Arial" w:hAnsi="Arial" w:cs="Arial"/>
              </w:rPr>
              <w:t>Responses</w:t>
            </w:r>
          </w:p>
        </w:tc>
      </w:tr>
      <w:tr w:rsidR="00EA2306"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A2306" w:rsidRPr="00E22FE9" w:rsidRDefault="00EA2306" w:rsidP="00E22FE9">
            <w:pPr>
              <w:rPr>
                <w:rFonts w:ascii="Arial" w:hAnsi="Arial" w:cs="Arial"/>
                <w:b w:val="0"/>
              </w:rPr>
            </w:pPr>
            <w:r w:rsidRPr="00E22FE9">
              <w:rPr>
                <w:rFonts w:ascii="Arial" w:hAnsi="Arial" w:cs="Arial"/>
                <w:b w:val="0"/>
              </w:rPr>
              <w:t>I didn’t know I had to enrol</w:t>
            </w:r>
          </w:p>
        </w:tc>
        <w:tc>
          <w:tcPr>
            <w:tcW w:w="4621" w:type="dxa"/>
            <w:vAlign w:val="center"/>
          </w:tcPr>
          <w:p w:rsidR="00EA2306" w:rsidRDefault="00EA2306"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w:t>
            </w:r>
          </w:p>
        </w:tc>
      </w:tr>
      <w:tr w:rsidR="00EA2306" w:rsidTr="00E22FE9">
        <w:trPr>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A2306" w:rsidRPr="00E22FE9" w:rsidRDefault="00EA2306" w:rsidP="00E22FE9">
            <w:pPr>
              <w:rPr>
                <w:rFonts w:ascii="Arial" w:hAnsi="Arial" w:cs="Arial"/>
                <w:b w:val="0"/>
              </w:rPr>
            </w:pPr>
            <w:r w:rsidRPr="00E22FE9">
              <w:rPr>
                <w:rFonts w:ascii="Arial" w:hAnsi="Arial" w:cs="Arial"/>
                <w:b w:val="0"/>
              </w:rPr>
              <w:t>I didn’t know how to enrol</w:t>
            </w:r>
          </w:p>
        </w:tc>
        <w:tc>
          <w:tcPr>
            <w:tcW w:w="4621" w:type="dxa"/>
            <w:vAlign w:val="center"/>
          </w:tcPr>
          <w:p w:rsidR="00EA2306" w:rsidRDefault="00EA2306"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14%</w:t>
            </w:r>
          </w:p>
        </w:tc>
      </w:tr>
      <w:tr w:rsidR="00EA2306"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A2306" w:rsidRPr="00E22FE9" w:rsidRDefault="00EA2306" w:rsidP="00E22FE9">
            <w:pPr>
              <w:rPr>
                <w:rFonts w:ascii="Arial" w:hAnsi="Arial" w:cs="Arial"/>
                <w:b w:val="0"/>
              </w:rPr>
            </w:pPr>
            <w:r w:rsidRPr="00E22FE9">
              <w:rPr>
                <w:rFonts w:ascii="Arial" w:hAnsi="Arial" w:cs="Arial"/>
                <w:b w:val="0"/>
              </w:rPr>
              <w:t>I forgot about enrolling</w:t>
            </w:r>
          </w:p>
        </w:tc>
        <w:tc>
          <w:tcPr>
            <w:tcW w:w="4621" w:type="dxa"/>
            <w:vAlign w:val="center"/>
          </w:tcPr>
          <w:p w:rsidR="00EA2306" w:rsidRDefault="00EA2306"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w:t>
            </w:r>
          </w:p>
        </w:tc>
      </w:tr>
      <w:tr w:rsidR="00EA2306" w:rsidTr="00E22FE9">
        <w:trPr>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A2306" w:rsidRPr="00E22FE9" w:rsidRDefault="00EA2306" w:rsidP="00E22FE9">
            <w:pPr>
              <w:rPr>
                <w:rFonts w:ascii="Arial" w:hAnsi="Arial" w:cs="Arial"/>
                <w:b w:val="0"/>
              </w:rPr>
            </w:pPr>
            <w:r w:rsidRPr="00E22FE9">
              <w:rPr>
                <w:rFonts w:ascii="Arial" w:hAnsi="Arial" w:cs="Arial"/>
                <w:b w:val="0"/>
              </w:rPr>
              <w:t>I was going to get around to enrolling</w:t>
            </w:r>
          </w:p>
        </w:tc>
        <w:tc>
          <w:tcPr>
            <w:tcW w:w="4621" w:type="dxa"/>
            <w:vAlign w:val="center"/>
          </w:tcPr>
          <w:p w:rsidR="00EA2306" w:rsidRDefault="00EA2306"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w:t>
            </w:r>
          </w:p>
        </w:tc>
      </w:tr>
      <w:tr w:rsidR="00EA2306" w:rsidTr="00E22FE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A2306" w:rsidRPr="00E22FE9" w:rsidRDefault="00EA2306" w:rsidP="00E22FE9">
            <w:pPr>
              <w:rPr>
                <w:rFonts w:ascii="Arial" w:hAnsi="Arial" w:cs="Arial"/>
                <w:b w:val="0"/>
              </w:rPr>
            </w:pPr>
            <w:r w:rsidRPr="00E22FE9">
              <w:rPr>
                <w:rFonts w:ascii="Arial" w:hAnsi="Arial" w:cs="Arial"/>
                <w:b w:val="0"/>
              </w:rPr>
              <w:t>I assumed the Electoral Commission would enrol me</w:t>
            </w:r>
          </w:p>
        </w:tc>
        <w:tc>
          <w:tcPr>
            <w:tcW w:w="4621" w:type="dxa"/>
            <w:vAlign w:val="center"/>
          </w:tcPr>
          <w:p w:rsidR="00EA2306" w:rsidRDefault="00EA2306" w:rsidP="00E22FE9">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42%</w:t>
            </w:r>
          </w:p>
        </w:tc>
      </w:tr>
      <w:tr w:rsidR="00EA2306" w:rsidTr="00E22FE9">
        <w:trPr>
          <w:trHeight w:val="397"/>
        </w:trPr>
        <w:tc>
          <w:tcPr>
            <w:cnfStyle w:val="001000000000" w:firstRow="0" w:lastRow="0" w:firstColumn="1" w:lastColumn="0" w:oddVBand="0" w:evenVBand="0" w:oddHBand="0" w:evenHBand="0" w:firstRowFirstColumn="0" w:firstRowLastColumn="0" w:lastRowFirstColumn="0" w:lastRowLastColumn="0"/>
            <w:tcW w:w="4621" w:type="dxa"/>
            <w:vAlign w:val="center"/>
          </w:tcPr>
          <w:p w:rsidR="00EA2306" w:rsidRPr="00E22FE9" w:rsidRDefault="00C734DC" w:rsidP="00E22FE9">
            <w:pPr>
              <w:rPr>
                <w:rFonts w:ascii="Arial" w:hAnsi="Arial" w:cs="Arial"/>
                <w:b w:val="0"/>
              </w:rPr>
            </w:pPr>
            <w:r w:rsidRPr="00E22FE9">
              <w:rPr>
                <w:rFonts w:ascii="Arial" w:hAnsi="Arial" w:cs="Arial"/>
                <w:b w:val="0"/>
              </w:rPr>
              <w:t>I didn’t want to be enrolled</w:t>
            </w:r>
          </w:p>
        </w:tc>
        <w:tc>
          <w:tcPr>
            <w:tcW w:w="4621" w:type="dxa"/>
            <w:vAlign w:val="center"/>
          </w:tcPr>
          <w:p w:rsidR="00C734DC" w:rsidRDefault="00C734DC" w:rsidP="00E22FE9">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7%</w:t>
            </w:r>
          </w:p>
        </w:tc>
      </w:tr>
    </w:tbl>
    <w:p w:rsidR="00C734DC" w:rsidRDefault="00C734DC" w:rsidP="008F0E33">
      <w:pPr>
        <w:rPr>
          <w:rFonts w:ascii="Arial" w:hAnsi="Arial" w:cs="Arial"/>
          <w:b/>
          <w:sz w:val="20"/>
          <w:szCs w:val="20"/>
        </w:rPr>
      </w:pPr>
      <w:r>
        <w:rPr>
          <w:rFonts w:ascii="Arial" w:hAnsi="Arial" w:cs="Arial"/>
          <w:b/>
          <w:sz w:val="20"/>
          <w:szCs w:val="20"/>
        </w:rPr>
        <w:t xml:space="preserve">Table </w:t>
      </w:r>
      <w:r w:rsidR="00EF7208">
        <w:rPr>
          <w:rFonts w:ascii="Arial" w:hAnsi="Arial" w:cs="Arial"/>
          <w:b/>
          <w:sz w:val="20"/>
          <w:szCs w:val="20"/>
        </w:rPr>
        <w:t>9</w:t>
      </w:r>
      <w:r>
        <w:rPr>
          <w:rFonts w:ascii="Arial" w:hAnsi="Arial" w:cs="Arial"/>
          <w:b/>
          <w:sz w:val="20"/>
          <w:szCs w:val="20"/>
        </w:rPr>
        <w:t>: Reasons why directly enrolled electors had not enrolled</w:t>
      </w:r>
    </w:p>
    <w:p w:rsidR="003E4086" w:rsidRDefault="00C734DC" w:rsidP="008F0E33">
      <w:pPr>
        <w:rPr>
          <w:rFonts w:ascii="Arial" w:hAnsi="Arial" w:cs="Arial"/>
        </w:rPr>
      </w:pPr>
      <w:r>
        <w:rPr>
          <w:rFonts w:ascii="Arial" w:hAnsi="Arial" w:cs="Arial"/>
        </w:rPr>
        <w:t>An assumption that the Electoral Commission would enrol</w:t>
      </w:r>
      <w:r w:rsidR="00EA2306">
        <w:rPr>
          <w:rFonts w:ascii="Arial" w:hAnsi="Arial" w:cs="Arial"/>
        </w:rPr>
        <w:t xml:space="preserve"> </w:t>
      </w:r>
      <w:r>
        <w:rPr>
          <w:rFonts w:ascii="Arial" w:hAnsi="Arial" w:cs="Arial"/>
        </w:rPr>
        <w:t>them was the largest single response. This response reveals the need for direct enrolment, and how it has become part of people’s expectations.</w:t>
      </w:r>
      <w:r w:rsidR="007D4835">
        <w:rPr>
          <w:rFonts w:ascii="Arial" w:hAnsi="Arial" w:cs="Arial"/>
        </w:rPr>
        <w:t xml:space="preserve"> </w:t>
      </w:r>
      <w:r w:rsidR="005753F6">
        <w:rPr>
          <w:rFonts w:ascii="Arial" w:hAnsi="Arial" w:cs="Arial"/>
        </w:rPr>
        <w:t xml:space="preserve">Lack of knowledge (about having to enrol or how to enrol) affected a significant minority (27% of respondents), further underlining the necessity for a direct enrolment program. More respondents (43% of the total) were simply apathetic, having forgotten about it or being slow to act. Only a small minority (7%) did not want to be enrolled. In the comments section for this question, 65 respondents stated that they thought they had already enrolled. </w:t>
      </w:r>
      <w:r w:rsidR="00372E28">
        <w:rPr>
          <w:rFonts w:ascii="Arial" w:hAnsi="Arial" w:cs="Arial"/>
        </w:rPr>
        <w:t xml:space="preserve">These responses may reflect a timing issue, as many respondents may have enrolled themselves for the 2016 Federal election. As well, there appear to have been some technical </w:t>
      </w:r>
      <w:r w:rsidR="008058DA">
        <w:rPr>
          <w:rFonts w:ascii="Arial" w:hAnsi="Arial" w:cs="Arial"/>
        </w:rPr>
        <w:t xml:space="preserve">problems with targeting this survey to new </w:t>
      </w:r>
      <w:proofErr w:type="spellStart"/>
      <w:r w:rsidR="008058DA">
        <w:rPr>
          <w:rFonts w:ascii="Arial" w:hAnsi="Arial" w:cs="Arial"/>
        </w:rPr>
        <w:t>enrol</w:t>
      </w:r>
      <w:r w:rsidR="00E747C6">
        <w:rPr>
          <w:rFonts w:ascii="Arial" w:hAnsi="Arial" w:cs="Arial"/>
        </w:rPr>
        <w:t>l</w:t>
      </w:r>
      <w:r w:rsidR="008058DA">
        <w:rPr>
          <w:rFonts w:ascii="Arial" w:hAnsi="Arial" w:cs="Arial"/>
        </w:rPr>
        <w:t>ees</w:t>
      </w:r>
      <w:proofErr w:type="spellEnd"/>
      <w:r w:rsidR="008058DA">
        <w:rPr>
          <w:rFonts w:ascii="Arial" w:hAnsi="Arial" w:cs="Arial"/>
        </w:rPr>
        <w:t xml:space="preserve"> only.</w:t>
      </w:r>
    </w:p>
    <w:p w:rsidR="00A7177E" w:rsidRDefault="003F5B90" w:rsidP="008F0E33">
      <w:pPr>
        <w:rPr>
          <w:rFonts w:ascii="Arial" w:hAnsi="Arial" w:cs="Arial"/>
        </w:rPr>
      </w:pPr>
      <w:r>
        <w:rPr>
          <w:rFonts w:ascii="Arial" w:hAnsi="Arial" w:cs="Arial"/>
        </w:rPr>
        <w:t xml:space="preserve">A strong majority (82%) of respondents agreed with the VEC directly enrolling electors, and only 4% disagreed with direct enrolment. Even so, most respondents (64%) thought that </w:t>
      </w:r>
      <w:r>
        <w:rPr>
          <w:rFonts w:ascii="Arial" w:hAnsi="Arial" w:cs="Arial"/>
        </w:rPr>
        <w:lastRenderedPageBreak/>
        <w:t xml:space="preserve">they would update their enrolment if they changed address, while 24% predicted they would wait for the Electoral Commission to update their enrolment. </w:t>
      </w:r>
      <w:r w:rsidR="00014E7F">
        <w:rPr>
          <w:rFonts w:ascii="Arial" w:hAnsi="Arial" w:cs="Arial"/>
        </w:rPr>
        <w:t xml:space="preserve">Comments were overwhelmingly positive (54 of 66 comments), with respondents focussing on the convenience of the VEC enrolling </w:t>
      </w:r>
      <w:r w:rsidR="000F1390">
        <w:rPr>
          <w:rFonts w:ascii="Arial" w:hAnsi="Arial" w:cs="Arial"/>
        </w:rPr>
        <w:t xml:space="preserve">people </w:t>
      </w:r>
      <w:r w:rsidR="00014E7F">
        <w:rPr>
          <w:rFonts w:ascii="Arial" w:hAnsi="Arial" w:cs="Arial"/>
        </w:rPr>
        <w:t>who have busy lives. For instance, one respondent observed that “Enrolling is compulsory, so this should actually be ‘one less thing to do’ allowing you not to worry about enrolment</w:t>
      </w:r>
      <w:r w:rsidR="00610C13">
        <w:rPr>
          <w:rFonts w:ascii="Arial" w:hAnsi="Arial" w:cs="Arial"/>
        </w:rPr>
        <w:t>”</w:t>
      </w:r>
      <w:r w:rsidR="00014E7F">
        <w:rPr>
          <w:rFonts w:ascii="Arial" w:hAnsi="Arial" w:cs="Arial"/>
        </w:rPr>
        <w:t xml:space="preserve">. Another confessed: “Made the process easy. I would’ve forgotten to enrol had they not done it for me”. One respondent </w:t>
      </w:r>
      <w:r w:rsidR="00517C29">
        <w:rPr>
          <w:rFonts w:ascii="Arial" w:hAnsi="Arial" w:cs="Arial"/>
        </w:rPr>
        <w:t xml:space="preserve">saw </w:t>
      </w:r>
      <w:r w:rsidR="00014E7F">
        <w:rPr>
          <w:rFonts w:ascii="Arial" w:hAnsi="Arial" w:cs="Arial"/>
        </w:rPr>
        <w:t xml:space="preserve">direct enrolment </w:t>
      </w:r>
      <w:r w:rsidR="00517C29">
        <w:rPr>
          <w:rFonts w:ascii="Arial" w:hAnsi="Arial" w:cs="Arial"/>
        </w:rPr>
        <w:t>as democratically desirable: “We all should have a say and some people may not know how to go about doing it. The more people having a say has a much better result at the end of the day. Majority wins!</w:t>
      </w:r>
      <w:proofErr w:type="gramStart"/>
      <w:r w:rsidR="00517C29">
        <w:rPr>
          <w:rFonts w:ascii="Arial" w:hAnsi="Arial" w:cs="Arial"/>
        </w:rPr>
        <w:t>”</w:t>
      </w:r>
      <w:r w:rsidR="00610C13">
        <w:rPr>
          <w:rFonts w:ascii="Arial" w:hAnsi="Arial" w:cs="Arial"/>
        </w:rPr>
        <w:t>.</w:t>
      </w:r>
      <w:proofErr w:type="gramEnd"/>
      <w:r w:rsidR="00517C29">
        <w:rPr>
          <w:rFonts w:ascii="Arial" w:hAnsi="Arial" w:cs="Arial"/>
        </w:rPr>
        <w:t xml:space="preserve"> On the other hand, one person objected that “using information that you do </w:t>
      </w:r>
      <w:r w:rsidR="00A7177E">
        <w:rPr>
          <w:rFonts w:ascii="Arial" w:hAnsi="Arial" w:cs="Arial"/>
        </w:rPr>
        <w:t>not have permission from the office holder is not correct”. And another opposed the whole notion of direct enrolment as well as the voting system:</w:t>
      </w:r>
    </w:p>
    <w:p w:rsidR="006D3858" w:rsidRPr="006D3858" w:rsidRDefault="006D3858" w:rsidP="000F1390">
      <w:pPr>
        <w:ind w:left="720"/>
        <w:rPr>
          <w:rFonts w:ascii="Arial" w:hAnsi="Arial" w:cs="Arial"/>
        </w:rPr>
      </w:pPr>
      <w:r w:rsidRPr="006D3858">
        <w:rPr>
          <w:rFonts w:ascii="Arial" w:hAnsi="Arial" w:cs="Arial"/>
        </w:rPr>
        <w:t xml:space="preserve">The government has imposed a contract on me against my will that will last for the rest of my life or until </w:t>
      </w:r>
      <w:proofErr w:type="spellStart"/>
      <w:r w:rsidRPr="006D3858">
        <w:rPr>
          <w:rFonts w:ascii="Arial" w:hAnsi="Arial" w:cs="Arial"/>
        </w:rPr>
        <w:t>i</w:t>
      </w:r>
      <w:proofErr w:type="spellEnd"/>
      <w:r w:rsidRPr="006D3858">
        <w:rPr>
          <w:rFonts w:ascii="Arial" w:hAnsi="Arial" w:cs="Arial"/>
        </w:rPr>
        <w:t xml:space="preserve"> renounce my Australian citizenship. They have also taken away my ability to engage in a passive political protest by not enrolling in a voting system that does not serve the Australian people. It is my understanding that almost 25% of young people feel the same way and </w:t>
      </w:r>
      <w:proofErr w:type="gramStart"/>
      <w:r w:rsidRPr="006D3858">
        <w:rPr>
          <w:rFonts w:ascii="Arial" w:hAnsi="Arial" w:cs="Arial"/>
        </w:rPr>
        <w:t>have</w:t>
      </w:r>
      <w:proofErr w:type="gramEnd"/>
      <w:r w:rsidRPr="006D3858">
        <w:rPr>
          <w:rFonts w:ascii="Arial" w:hAnsi="Arial" w:cs="Arial"/>
        </w:rPr>
        <w:t xml:space="preserve"> chosen not to </w:t>
      </w:r>
      <w:proofErr w:type="spellStart"/>
      <w:r w:rsidRPr="006D3858">
        <w:rPr>
          <w:rFonts w:ascii="Arial" w:hAnsi="Arial" w:cs="Arial"/>
        </w:rPr>
        <w:t>enroll</w:t>
      </w:r>
      <w:proofErr w:type="spellEnd"/>
      <w:r w:rsidRPr="006D3858">
        <w:rPr>
          <w:rFonts w:ascii="Arial" w:hAnsi="Arial" w:cs="Arial"/>
        </w:rPr>
        <w:t xml:space="preserve"> and that the direct </w:t>
      </w:r>
      <w:proofErr w:type="spellStart"/>
      <w:r w:rsidRPr="006D3858">
        <w:rPr>
          <w:rFonts w:ascii="Arial" w:hAnsi="Arial" w:cs="Arial"/>
        </w:rPr>
        <w:t>enrollment</w:t>
      </w:r>
      <w:proofErr w:type="spellEnd"/>
      <w:r w:rsidRPr="006D3858">
        <w:rPr>
          <w:rFonts w:ascii="Arial" w:hAnsi="Arial" w:cs="Arial"/>
        </w:rPr>
        <w:t xml:space="preserve"> process is used to hide the fact that many people do not believe the voting system or the two options for government it presents are worthwhile or serve their interests.</w:t>
      </w:r>
    </w:p>
    <w:p w:rsidR="008058DA" w:rsidRDefault="006D3858" w:rsidP="006D3858">
      <w:pPr>
        <w:rPr>
          <w:rFonts w:ascii="Arial" w:hAnsi="Arial" w:cs="Arial"/>
        </w:rPr>
      </w:pPr>
      <w:r>
        <w:rPr>
          <w:rFonts w:ascii="Arial" w:hAnsi="Arial" w:cs="Arial"/>
        </w:rPr>
        <w:t xml:space="preserve">Questioned on their attitude to voting in State and Federal elections, </w:t>
      </w:r>
      <w:r w:rsidR="007B3EAC">
        <w:rPr>
          <w:rFonts w:ascii="Arial" w:hAnsi="Arial" w:cs="Arial"/>
        </w:rPr>
        <w:t>7</w:t>
      </w:r>
      <w:r>
        <w:rPr>
          <w:rFonts w:ascii="Arial" w:hAnsi="Arial" w:cs="Arial"/>
        </w:rPr>
        <w:t xml:space="preserve">8% responded that they would vote because it is important, and </w:t>
      </w:r>
      <w:r w:rsidR="007B3EAC">
        <w:rPr>
          <w:rFonts w:ascii="Arial" w:hAnsi="Arial" w:cs="Arial"/>
        </w:rPr>
        <w:t>19% responded that they would vote because they had to. Only a tiny minor</w:t>
      </w:r>
      <w:r w:rsidR="00786C26">
        <w:rPr>
          <w:rFonts w:ascii="Arial" w:hAnsi="Arial" w:cs="Arial"/>
        </w:rPr>
        <w:t xml:space="preserve">ity </w:t>
      </w:r>
      <w:r w:rsidR="003E6479">
        <w:rPr>
          <w:rFonts w:ascii="Arial" w:hAnsi="Arial" w:cs="Arial"/>
        </w:rPr>
        <w:t xml:space="preserve">(1.2% for each response) stated </w:t>
      </w:r>
      <w:r w:rsidR="00786C26">
        <w:rPr>
          <w:rFonts w:ascii="Arial" w:hAnsi="Arial" w:cs="Arial"/>
        </w:rPr>
        <w:t>that they would vote informally as a protest, or would not vote.</w:t>
      </w:r>
      <w:r w:rsidR="007B3EAC">
        <w:rPr>
          <w:rFonts w:ascii="Arial" w:hAnsi="Arial" w:cs="Arial"/>
        </w:rPr>
        <w:t xml:space="preserve"> </w:t>
      </w:r>
      <w:r w:rsidR="003E6479">
        <w:rPr>
          <w:rFonts w:ascii="Arial" w:hAnsi="Arial" w:cs="Arial"/>
        </w:rPr>
        <w:t xml:space="preserve">Comments were mostly positive (24 of 31 comments), with respondents seeing voting as their way of having a say in who runs the country. One respondent asserted: “I feel that every Australian should have a say in Australia’s future and it important for EVERYONE to participate in </w:t>
      </w:r>
      <w:r w:rsidR="004C75C5">
        <w:rPr>
          <w:rFonts w:ascii="Arial" w:hAnsi="Arial" w:cs="Arial"/>
        </w:rPr>
        <w:t xml:space="preserve">State and Federal elections”. A young elector disclosed: “I am currently in year 12 studying legal studies and I’ve been taught the importance of voting and our democratic right to vote, therefore I want to vote to have a say in </w:t>
      </w:r>
      <w:proofErr w:type="gramStart"/>
      <w:r w:rsidR="004C75C5">
        <w:rPr>
          <w:rFonts w:ascii="Arial" w:hAnsi="Arial" w:cs="Arial"/>
        </w:rPr>
        <w:t>who</w:t>
      </w:r>
      <w:proofErr w:type="gramEnd"/>
      <w:r w:rsidR="004C75C5">
        <w:rPr>
          <w:rFonts w:ascii="Arial" w:hAnsi="Arial" w:cs="Arial"/>
        </w:rPr>
        <w:t xml:space="preserve"> is running our country”. A few respondents were resigned rather than enthusiastic: “We are told we have to vote and if we don’t we will be fined. Nobody wants a fine we all vote and follow the guidelines”. Some respondents were critical of the politicians on offer, and a couple opposed compulsory voting: “Voting should not be compulsory. People would vote better if it was not. Too many people are ill-informed and do not vote correctly”.</w:t>
      </w:r>
    </w:p>
    <w:p w:rsidR="004C75C5" w:rsidRDefault="00E13068" w:rsidP="006D3858">
      <w:pPr>
        <w:rPr>
          <w:rFonts w:ascii="Arial" w:hAnsi="Arial" w:cs="Arial"/>
        </w:rPr>
      </w:pPr>
      <w:r>
        <w:rPr>
          <w:rFonts w:ascii="Arial" w:hAnsi="Arial" w:cs="Arial"/>
        </w:rPr>
        <w:t xml:space="preserve">The results of the survey of electors whose enrolment had been directly updated were very similar. Ninety per cent of respondents knew that enrolment is compulsory, and the remainder were not sure. Almost 80% of respondents were aware that the VEC had directly updated their enrolment. </w:t>
      </w:r>
      <w:r w:rsidR="008D343A">
        <w:rPr>
          <w:rFonts w:ascii="Arial" w:hAnsi="Arial" w:cs="Arial"/>
        </w:rPr>
        <w:t>When asked why they had not updated their enrolment, 39% stated that they thought their details were up to date. The second largest response (29% of the total) was from those who were going to get around to it, while 15</w:t>
      </w:r>
      <w:r w:rsidR="00784CE9">
        <w:rPr>
          <w:rFonts w:ascii="Arial" w:hAnsi="Arial" w:cs="Arial"/>
        </w:rPr>
        <w:t>%</w:t>
      </w:r>
      <w:r w:rsidR="008D343A">
        <w:rPr>
          <w:rFonts w:ascii="Arial" w:hAnsi="Arial" w:cs="Arial"/>
        </w:rPr>
        <w:t xml:space="preserve"> of respondents assumed that the Electoral Commission would do it for them. </w:t>
      </w:r>
      <w:r w:rsidR="00784CE9">
        <w:rPr>
          <w:rFonts w:ascii="Arial" w:hAnsi="Arial" w:cs="Arial"/>
        </w:rPr>
        <w:t xml:space="preserve">In the comments section, a number of respondents stated they had updated their own enrolment. The complications created by separate Commonwealth and Victorian systems explain some of these responses. Other comments show the system working well: “We notified VicRoads online of our change of </w:t>
      </w:r>
      <w:r w:rsidR="00784CE9">
        <w:rPr>
          <w:rFonts w:ascii="Arial" w:hAnsi="Arial" w:cs="Arial"/>
        </w:rPr>
        <w:lastRenderedPageBreak/>
        <w:t xml:space="preserve">address January 2016. We then received your advice dated 17 February 2016 detailing our change”. </w:t>
      </w:r>
      <w:r w:rsidR="00C655DD">
        <w:rPr>
          <w:rFonts w:ascii="Arial" w:hAnsi="Arial" w:cs="Arial"/>
        </w:rPr>
        <w:t>As this example shows, the VEC acts promptly to update electors’ enrolment.</w:t>
      </w:r>
    </w:p>
    <w:p w:rsidR="00C655DD" w:rsidRDefault="00C655DD" w:rsidP="006D3858">
      <w:pPr>
        <w:rPr>
          <w:rFonts w:ascii="Arial" w:hAnsi="Arial" w:cs="Arial"/>
        </w:rPr>
      </w:pPr>
      <w:r>
        <w:rPr>
          <w:rFonts w:ascii="Arial" w:hAnsi="Arial" w:cs="Arial"/>
        </w:rPr>
        <w:t xml:space="preserve">Some 95% of respondents agreed with the VEC directly updating electors’ enrolment, and only one disagreed. Slightly more than half thought that they would update their enrolment in future, while 29% preferred to wait for the Electoral Commission to do so. </w:t>
      </w:r>
      <w:r w:rsidR="009812A8">
        <w:rPr>
          <w:rFonts w:ascii="Arial" w:hAnsi="Arial" w:cs="Arial"/>
        </w:rPr>
        <w:t xml:space="preserve">Nearly all comments were positive, praising the convenience of direct enrolment update, under which informing one government agency would flow on to others. </w:t>
      </w:r>
      <w:r w:rsidR="00B706E6">
        <w:rPr>
          <w:rFonts w:ascii="Arial" w:hAnsi="Arial" w:cs="Arial"/>
        </w:rPr>
        <w:t>One respondent enthused:</w:t>
      </w:r>
    </w:p>
    <w:p w:rsidR="00B706E6" w:rsidRPr="00B706E6" w:rsidRDefault="00B706E6" w:rsidP="00B706E6">
      <w:pPr>
        <w:shd w:val="clear" w:color="auto" w:fill="FFFFFF"/>
        <w:spacing w:after="0" w:line="240" w:lineRule="auto"/>
        <w:ind w:left="720"/>
        <w:rPr>
          <w:rFonts w:ascii="Arial" w:eastAsia="Times New Roman" w:hAnsi="Arial" w:cs="Arial"/>
          <w:color w:val="333333"/>
          <w:lang w:eastAsia="en-AU"/>
        </w:rPr>
      </w:pPr>
      <w:r w:rsidRPr="00B706E6">
        <w:rPr>
          <w:rFonts w:ascii="Arial" w:eastAsia="Times New Roman" w:hAnsi="Arial" w:cs="Arial"/>
          <w:color w:val="333333"/>
          <w:lang w:eastAsia="en-AU"/>
        </w:rPr>
        <w:t xml:space="preserve">I thought it was great. There are so many organizations to update when you have moved house. We had been in the same place for 10 years, so had heaps of contacts to inform, so it takes quite a deal of time, on top of daily living, to get round to all of them. When the electoral roll update arrived after we had updated our driving </w:t>
      </w:r>
      <w:proofErr w:type="gramStart"/>
      <w:r w:rsidRPr="00B706E6">
        <w:rPr>
          <w:rFonts w:ascii="Arial" w:eastAsia="Times New Roman" w:hAnsi="Arial" w:cs="Arial"/>
          <w:color w:val="333333"/>
          <w:lang w:eastAsia="en-AU"/>
        </w:rPr>
        <w:t>licence, that</w:t>
      </w:r>
      <w:proofErr w:type="gramEnd"/>
      <w:r w:rsidRPr="00B706E6">
        <w:rPr>
          <w:rFonts w:ascii="Arial" w:eastAsia="Times New Roman" w:hAnsi="Arial" w:cs="Arial"/>
          <w:color w:val="333333"/>
          <w:lang w:eastAsia="en-AU"/>
        </w:rPr>
        <w:t xml:space="preserve"> make life that little bit easier - one less for us to do. We figured that the driving licence was the most important to have current and the VEC was further down the list of priorities. </w:t>
      </w:r>
      <w:r>
        <w:rPr>
          <w:rFonts w:ascii="Arial" w:eastAsia="Times New Roman" w:hAnsi="Arial" w:cs="Arial"/>
          <w:color w:val="333333"/>
          <w:lang w:eastAsia="en-AU"/>
        </w:rPr>
        <w:br/>
      </w:r>
    </w:p>
    <w:p w:rsidR="00B706E6" w:rsidRDefault="00B706E6" w:rsidP="006D3858">
      <w:pPr>
        <w:rPr>
          <w:rFonts w:ascii="Arial" w:hAnsi="Arial" w:cs="Arial"/>
        </w:rPr>
      </w:pPr>
      <w:r>
        <w:rPr>
          <w:rFonts w:ascii="Arial" w:hAnsi="Arial" w:cs="Arial"/>
        </w:rPr>
        <w:t>In relation to voting, 84% of respondents wrote that they would vote because it is important, 14% said that they would vote because they had to, and only one respondent declared an intention not to vote. Nearly all comments strongly supported voting, such as “Every vote counts no matter the party you are voting for”, though two respondents thought that both the major parties were not aligned with their views.</w:t>
      </w:r>
    </w:p>
    <w:p w:rsidR="00822068" w:rsidRDefault="00822068">
      <w:pPr>
        <w:rPr>
          <w:rFonts w:ascii="Arial" w:hAnsi="Arial" w:cs="Arial"/>
        </w:rPr>
      </w:pPr>
      <w:r>
        <w:rPr>
          <w:rFonts w:ascii="Arial" w:hAnsi="Arial" w:cs="Arial"/>
        </w:rPr>
        <w:br w:type="page"/>
      </w:r>
    </w:p>
    <w:p w:rsidR="00B706E6" w:rsidRPr="00FF5D90" w:rsidRDefault="00822068" w:rsidP="00822068">
      <w:pPr>
        <w:pStyle w:val="Heading2"/>
        <w:rPr>
          <w:rFonts w:ascii="Arial" w:hAnsi="Arial" w:cs="Arial"/>
          <w:color w:val="7D922E"/>
          <w:sz w:val="28"/>
          <w:szCs w:val="28"/>
        </w:rPr>
      </w:pPr>
      <w:bookmarkStart w:id="14" w:name="_Toc491857289"/>
      <w:r w:rsidRPr="00FF5D90">
        <w:rPr>
          <w:rFonts w:ascii="Arial" w:hAnsi="Arial" w:cs="Arial"/>
          <w:color w:val="7D922E"/>
          <w:sz w:val="28"/>
          <w:szCs w:val="28"/>
        </w:rPr>
        <w:lastRenderedPageBreak/>
        <w:t>4. Conclusions</w:t>
      </w:r>
      <w:bookmarkEnd w:id="14"/>
    </w:p>
    <w:p w:rsidR="00822068" w:rsidRDefault="004E4573" w:rsidP="00822068">
      <w:pPr>
        <w:rPr>
          <w:rFonts w:ascii="Arial" w:hAnsi="Arial" w:cs="Arial"/>
        </w:rPr>
      </w:pPr>
      <w:r>
        <w:rPr>
          <w:rFonts w:ascii="Arial" w:hAnsi="Arial" w:cs="Arial"/>
        </w:rPr>
        <w:t xml:space="preserve">The VEC’s direct enrolment program has been responsible for a substantial increase in the enrolment rate in Victoria, to more than 95% of the estimated eligible population. Newly enrolled electors under this program have particular characteristics: they are younger than new enrolments in general, are predominantly male, and are concentrated in outer suburban areas. </w:t>
      </w:r>
      <w:r w:rsidR="00907AB9">
        <w:rPr>
          <w:rFonts w:ascii="Arial" w:hAnsi="Arial" w:cs="Arial"/>
        </w:rPr>
        <w:t>Their numbers are comparatively modest (63,915 between 2013 and 2016), but they are a growing component of Victorian electors.</w:t>
      </w:r>
    </w:p>
    <w:p w:rsidR="00907AB9" w:rsidRDefault="00907AB9" w:rsidP="00822068">
      <w:pPr>
        <w:rPr>
          <w:rFonts w:ascii="Arial" w:hAnsi="Arial" w:cs="Arial"/>
        </w:rPr>
      </w:pPr>
      <w:r>
        <w:rPr>
          <w:rFonts w:ascii="Arial" w:hAnsi="Arial" w:cs="Arial"/>
        </w:rPr>
        <w:t>Electors whose enrolment has been updated by the VEC are much larger in nu</w:t>
      </w:r>
      <w:r w:rsidR="004F7570">
        <w:rPr>
          <w:rFonts w:ascii="Arial" w:hAnsi="Arial" w:cs="Arial"/>
        </w:rPr>
        <w:t>mber, comprising 693,961 of total enrolled address changes from 2013 to 2016. As they are such a large</w:t>
      </w:r>
      <w:r w:rsidR="000D3739">
        <w:rPr>
          <w:rFonts w:ascii="Arial" w:hAnsi="Arial" w:cs="Arial"/>
        </w:rPr>
        <w:t xml:space="preserve"> group</w:t>
      </w:r>
      <w:r w:rsidR="004F7570">
        <w:rPr>
          <w:rFonts w:ascii="Arial" w:hAnsi="Arial" w:cs="Arial"/>
        </w:rPr>
        <w:t xml:space="preserve">, they vary less from electors in general than do directly </w:t>
      </w:r>
      <w:proofErr w:type="gramStart"/>
      <w:r w:rsidR="004F7570">
        <w:rPr>
          <w:rFonts w:ascii="Arial" w:hAnsi="Arial" w:cs="Arial"/>
        </w:rPr>
        <w:t>enrolled</w:t>
      </w:r>
      <w:proofErr w:type="gramEnd"/>
      <w:r w:rsidR="004F7570">
        <w:rPr>
          <w:rFonts w:ascii="Arial" w:hAnsi="Arial" w:cs="Arial"/>
        </w:rPr>
        <w:t xml:space="preserve"> new electors. The direct enrolment update group are slightly more male and have a slightly younger age profile than enrolment updates in general, but their geographic distribution is very similar to that of all enrolment transactions.</w:t>
      </w:r>
    </w:p>
    <w:p w:rsidR="004F7570" w:rsidRDefault="004F7570" w:rsidP="00822068">
      <w:pPr>
        <w:rPr>
          <w:rFonts w:ascii="Arial" w:hAnsi="Arial" w:cs="Arial"/>
        </w:rPr>
      </w:pPr>
      <w:r>
        <w:rPr>
          <w:rFonts w:ascii="Arial" w:hAnsi="Arial" w:cs="Arial"/>
        </w:rPr>
        <w:t xml:space="preserve">There is some ground for concern that directly enrolled electors will not vote in the same proportions as others. In the 2014 State election, only </w:t>
      </w:r>
      <w:r w:rsidR="00EB542C">
        <w:rPr>
          <w:rFonts w:ascii="Arial" w:hAnsi="Arial" w:cs="Arial"/>
        </w:rPr>
        <w:t xml:space="preserve">61.73% of directly enrolled new electors voted. The youngest new </w:t>
      </w:r>
      <w:proofErr w:type="gramStart"/>
      <w:r w:rsidR="00EB542C">
        <w:rPr>
          <w:rFonts w:ascii="Arial" w:hAnsi="Arial" w:cs="Arial"/>
        </w:rPr>
        <w:t>electors voted in good numbers, but the turnout rate of those aged 20 and over was</w:t>
      </w:r>
      <w:proofErr w:type="gramEnd"/>
      <w:r w:rsidR="00EB542C">
        <w:rPr>
          <w:rFonts w:ascii="Arial" w:hAnsi="Arial" w:cs="Arial"/>
        </w:rPr>
        <w:t xml:space="preserve"> less than 50%. The non-voters tended to be male and concentrated in the outer suburbs and inner urban areas. Participation by electors whose enrolment had been updated was much stronger at 84.98%, but was still significantly below that of electors in general.</w:t>
      </w:r>
      <w:r w:rsidR="00FA5047">
        <w:rPr>
          <w:rFonts w:ascii="Arial" w:hAnsi="Arial" w:cs="Arial"/>
        </w:rPr>
        <w:t xml:space="preserve"> Further research on non-voters may inform the design of strategies to address this issue.</w:t>
      </w:r>
    </w:p>
    <w:p w:rsidR="008F35CF" w:rsidRDefault="00EB542C" w:rsidP="00822068">
      <w:pPr>
        <w:rPr>
          <w:rFonts w:ascii="Arial" w:hAnsi="Arial" w:cs="Arial"/>
        </w:rPr>
      </w:pPr>
      <w:r>
        <w:rPr>
          <w:rFonts w:ascii="Arial" w:hAnsi="Arial" w:cs="Arial"/>
        </w:rPr>
        <w:t xml:space="preserve">Nevertheless, feedback from directly enrolled electors was generally positive. Respondents to the VEC’s surveys were aware that enrolment was compulsory, supported direct enrolment and appreciated its convenience, and </w:t>
      </w:r>
      <w:r w:rsidR="00BD16A4">
        <w:rPr>
          <w:rFonts w:ascii="Arial" w:hAnsi="Arial" w:cs="Arial"/>
        </w:rPr>
        <w:t>declared their intention to vote because it was important. Direct enrolment provides a useful service to electors, expands the comprehensiveness of the electoral roll which is the basis of democratic elections, and is capturing a group of electors who otherwise may have stayed out of the system. It is now the task of the VEC to facilitate participation by all these electors.</w:t>
      </w:r>
    </w:p>
    <w:p w:rsidR="00281CE4" w:rsidRDefault="008F35CF">
      <w:pPr>
        <w:rPr>
          <w:rFonts w:ascii="Arial" w:hAnsi="Arial" w:cs="Arial"/>
        </w:rPr>
      </w:pPr>
      <w:r>
        <w:rPr>
          <w:rFonts w:ascii="Arial" w:hAnsi="Arial" w:cs="Arial"/>
        </w:rPr>
        <w:br w:type="page"/>
      </w:r>
      <w:r w:rsidR="004A5114">
        <w:rPr>
          <w:rFonts w:ascii="Arial" w:hAnsi="Arial" w:cs="Arial"/>
        </w:rPr>
        <w:lastRenderedPageBreak/>
        <w:br w:type="page"/>
      </w:r>
      <w:r w:rsidR="00281CE4">
        <w:rPr>
          <w:rFonts w:ascii="Arial" w:hAnsi="Arial" w:cs="Arial"/>
        </w:rPr>
        <w:lastRenderedPageBreak/>
        <w:br w:type="page"/>
      </w:r>
    </w:p>
    <w:p w:rsidR="00281CE4" w:rsidRDefault="00281CE4">
      <w:pPr>
        <w:rPr>
          <w:rFonts w:ascii="Arial" w:hAnsi="Arial" w:cs="Arial"/>
        </w:rPr>
      </w:pPr>
      <w:r>
        <w:rPr>
          <w:rFonts w:ascii="Arial" w:hAnsi="Arial" w:cs="Arial"/>
        </w:rPr>
        <w:lastRenderedPageBreak/>
        <w:br w:type="page"/>
      </w:r>
    </w:p>
    <w:p w:rsidR="004A5114" w:rsidRDefault="004A5114">
      <w:pPr>
        <w:rPr>
          <w:rFonts w:ascii="Arial" w:hAnsi="Arial" w:cs="Arial"/>
        </w:rPr>
      </w:pPr>
    </w:p>
    <w:p w:rsidR="008F35CF" w:rsidRDefault="008F35CF">
      <w:pPr>
        <w:rPr>
          <w:rFonts w:ascii="Arial" w:hAnsi="Arial" w:cs="Arial"/>
        </w:rPr>
      </w:pPr>
    </w:p>
    <w:p w:rsidR="004A5114" w:rsidRDefault="004A5114">
      <w:pPr>
        <w:rPr>
          <w:rFonts w:ascii="Arial" w:hAnsi="Arial" w:cs="Arial"/>
        </w:rPr>
      </w:pPr>
    </w:p>
    <w:p w:rsidR="004A5114" w:rsidRDefault="004A5114">
      <w:pPr>
        <w:rPr>
          <w:rFonts w:ascii="Arial" w:hAnsi="Arial" w:cs="Arial"/>
        </w:rPr>
      </w:pPr>
    </w:p>
    <w:p w:rsidR="00EB542C" w:rsidRPr="00822068" w:rsidRDefault="008F35CF" w:rsidP="00822068">
      <w:pPr>
        <w:rPr>
          <w:rFonts w:ascii="Arial" w:hAnsi="Arial" w:cs="Arial"/>
        </w:rPr>
      </w:pPr>
      <w:r>
        <w:rPr>
          <w:rFonts w:ascii="Arial" w:hAnsi="Arial" w:cs="Arial"/>
          <w:noProof/>
          <w:lang w:eastAsia="en-AU"/>
        </w:rPr>
        <w:drawing>
          <wp:anchor distT="0" distB="0" distL="114300" distR="114300" simplePos="0" relativeHeight="251659264" behindDoc="0" locked="0" layoutInCell="1" allowOverlap="1" wp14:anchorId="3F7DEFA5" wp14:editId="5D5F7564">
            <wp:simplePos x="0" y="0"/>
            <wp:positionH relativeFrom="page">
              <wp:align>center</wp:align>
            </wp:positionH>
            <wp:positionV relativeFrom="page">
              <wp:align>top</wp:align>
            </wp:positionV>
            <wp:extent cx="7542000" cy="10666800"/>
            <wp:effectExtent l="0" t="0" r="1905" b="1270"/>
            <wp:wrapNone/>
            <wp:docPr id="4" name="Picture 4" title="Back cover of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 Enrolment Report Cover 2017_Page_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sectPr w:rsidR="00EB542C" w:rsidRPr="00822068" w:rsidSect="00375885">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16C5" w:rsidRDefault="00BA16C5" w:rsidP="0031377C">
      <w:pPr>
        <w:spacing w:after="0" w:line="240" w:lineRule="auto"/>
      </w:pPr>
      <w:r>
        <w:separator/>
      </w:r>
    </w:p>
  </w:endnote>
  <w:endnote w:type="continuationSeparator" w:id="0">
    <w:p w:rsidR="00BA16C5" w:rsidRDefault="00BA16C5" w:rsidP="00313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C5" w:rsidRDefault="00BA16C5" w:rsidP="007B4BEA">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6C5" w:rsidRDefault="00BA16C5" w:rsidP="007B4BEA">
    <w:pPr>
      <w:pStyle w:val="Footer"/>
      <w:jc w:val="center"/>
    </w:pPr>
    <w:r>
      <w:fldChar w:fldCharType="begin"/>
    </w:r>
    <w:r>
      <w:instrText xml:space="preserve"> PAGE   \* MERGEFORMAT </w:instrText>
    </w:r>
    <w:r>
      <w:fldChar w:fldCharType="separate"/>
    </w:r>
    <w:r w:rsidR="00D857A5">
      <w:rPr>
        <w:noProof/>
      </w:rPr>
      <w:t>25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16C5" w:rsidRDefault="00BA16C5" w:rsidP="0031377C">
      <w:pPr>
        <w:spacing w:after="0" w:line="240" w:lineRule="auto"/>
      </w:pPr>
      <w:r>
        <w:separator/>
      </w:r>
    </w:p>
  </w:footnote>
  <w:footnote w:type="continuationSeparator" w:id="0">
    <w:p w:rsidR="00BA16C5" w:rsidRDefault="00BA16C5" w:rsidP="0031377C">
      <w:pPr>
        <w:spacing w:after="0" w:line="240" w:lineRule="auto"/>
      </w:pPr>
      <w:r>
        <w:continuationSeparator/>
      </w:r>
    </w:p>
  </w:footnote>
  <w:footnote w:id="1">
    <w:p w:rsidR="00BA16C5" w:rsidRPr="00E13EB8" w:rsidRDefault="00BA16C5">
      <w:pPr>
        <w:pStyle w:val="FootnoteText"/>
      </w:pPr>
      <w:r>
        <w:rPr>
          <w:rStyle w:val="FootnoteReference"/>
        </w:rPr>
        <w:footnoteRef/>
      </w:r>
      <w:r>
        <w:t xml:space="preserve"> See “Enrolling the People: Electoral Innovation in the New Australian Commonwealth”, by Marian </w:t>
      </w:r>
      <w:proofErr w:type="spellStart"/>
      <w:r>
        <w:t>Sawer</w:t>
      </w:r>
      <w:proofErr w:type="spellEnd"/>
      <w:r>
        <w:t xml:space="preserve">, in Graeme Orr, Bryan </w:t>
      </w:r>
      <w:proofErr w:type="spellStart"/>
      <w:r>
        <w:t>Mercurio</w:t>
      </w:r>
      <w:proofErr w:type="spellEnd"/>
      <w:r>
        <w:t xml:space="preserve"> and George Williams: </w:t>
      </w:r>
      <w:r>
        <w:rPr>
          <w:i/>
        </w:rPr>
        <w:t>Realising Democracy: Electoral Law in Australia</w:t>
      </w:r>
      <w:r>
        <w:t>, Federation Press, Annandale, 2003.</w:t>
      </w:r>
    </w:p>
  </w:footnote>
  <w:footnote w:id="2">
    <w:p w:rsidR="00BA16C5" w:rsidRDefault="00BA16C5">
      <w:pPr>
        <w:pStyle w:val="FootnoteText"/>
      </w:pPr>
      <w:r>
        <w:rPr>
          <w:rStyle w:val="FootnoteReference"/>
        </w:rPr>
        <w:footnoteRef/>
      </w:r>
      <w:r>
        <w:t xml:space="preserve"> See for example, Peter Brent: “Time to introduce automatic enrolment in Australia”, Democratic Audit of Australia, Discussion Paper 3/2008 (February 2008).</w:t>
      </w:r>
    </w:p>
  </w:footnote>
  <w:footnote w:id="3">
    <w:p w:rsidR="00BA16C5" w:rsidRPr="009A1B75" w:rsidRDefault="00BA16C5">
      <w:pPr>
        <w:pStyle w:val="FootnoteText"/>
      </w:pPr>
      <w:r>
        <w:rPr>
          <w:rStyle w:val="FootnoteReference"/>
        </w:rPr>
        <w:footnoteRef/>
      </w:r>
      <w:r>
        <w:t xml:space="preserve"> Electoral Matters Committee: </w:t>
      </w:r>
      <w:r>
        <w:rPr>
          <w:i/>
        </w:rPr>
        <w:t>Inquiry into the conduct of the 2010 Victorian State election and matters related thereto</w:t>
      </w:r>
      <w:r>
        <w:t>, May 2012, pp. 39-42.</w:t>
      </w:r>
    </w:p>
  </w:footnote>
  <w:footnote w:id="4">
    <w:p w:rsidR="00BA16C5" w:rsidRDefault="00BA16C5">
      <w:pPr>
        <w:pStyle w:val="FootnoteText"/>
      </w:pPr>
      <w:r>
        <w:rPr>
          <w:rStyle w:val="FootnoteReference"/>
        </w:rPr>
        <w:footnoteRef/>
      </w:r>
      <w:r>
        <w:t xml:space="preserve"> Australian Electoral Commission: ‘Electoral Roll Divergence: Submission to JSCEM’, 20 February 2015.</w:t>
      </w:r>
    </w:p>
  </w:footnote>
  <w:footnote w:id="5">
    <w:p w:rsidR="00BA16C5" w:rsidRPr="000D120C" w:rsidRDefault="00BA16C5">
      <w:pPr>
        <w:pStyle w:val="FootnoteText"/>
      </w:pPr>
      <w:r>
        <w:rPr>
          <w:rStyle w:val="FootnoteReference"/>
        </w:rPr>
        <w:footnoteRef/>
      </w:r>
      <w:r>
        <w:t xml:space="preserve"> Victorian Electoral Commission: </w:t>
      </w:r>
      <w:r>
        <w:rPr>
          <w:i/>
        </w:rPr>
        <w:t>Report to Parliament on the 2010 Victorian State election</w:t>
      </w:r>
      <w:r>
        <w:t>, 2011, p. 19.</w:t>
      </w:r>
    </w:p>
  </w:footnote>
  <w:footnote w:id="6">
    <w:p w:rsidR="00BA16C5" w:rsidRDefault="00BA16C5">
      <w:pPr>
        <w:pStyle w:val="FootnoteText"/>
      </w:pPr>
      <w:r>
        <w:rPr>
          <w:rStyle w:val="FootnoteReference"/>
        </w:rPr>
        <w:footnoteRef/>
      </w:r>
      <w:r>
        <w:t xml:space="preserve"> The VEC suspended direct enrolment activities in 2016 to prevent them cutting across the 2016 federal election. This is why numbers in 2015-16 were lower than in the previous year.</w:t>
      </w:r>
    </w:p>
  </w:footnote>
  <w:footnote w:id="7">
    <w:p w:rsidR="00BA16C5" w:rsidRDefault="00BA16C5">
      <w:pPr>
        <w:pStyle w:val="FootnoteText"/>
      </w:pPr>
      <w:r>
        <w:rPr>
          <w:rStyle w:val="FootnoteReference"/>
        </w:rPr>
        <w:footnoteRef/>
      </w:r>
      <w:r>
        <w:t xml:space="preserve"> 2016 census figures reveal that in inner suburban districts, many private dwellings (up to 49.2% of the total in Melbourne) have no registered motor vehicles, while in outer suburban districts there are very few such dwellings (as few as 1.7% of the total in Yan Yean).</w:t>
      </w:r>
    </w:p>
  </w:footnote>
  <w:footnote w:id="8">
    <w:p w:rsidR="00BA16C5" w:rsidRPr="00B54FEC" w:rsidRDefault="00BA16C5">
      <w:pPr>
        <w:pStyle w:val="FootnoteText"/>
      </w:pPr>
      <w:r>
        <w:rPr>
          <w:rStyle w:val="FootnoteReference"/>
        </w:rPr>
        <w:footnoteRef/>
      </w:r>
      <w:r>
        <w:t xml:space="preserve"> Peter Brent: “Is Technology Outpacing Compulsory Voting?</w:t>
      </w:r>
      <w:proofErr w:type="gramStart"/>
      <w:r>
        <w:t>”,</w:t>
      </w:r>
      <w:proofErr w:type="gramEnd"/>
      <w:r>
        <w:t xml:space="preserve"> </w:t>
      </w:r>
      <w:r>
        <w:rPr>
          <w:i/>
        </w:rPr>
        <w:t>Inside Story</w:t>
      </w:r>
      <w:r>
        <w:t>, 19 April 2017.</w:t>
      </w:r>
    </w:p>
  </w:footnote>
  <w:footnote w:id="9">
    <w:p w:rsidR="00BA16C5" w:rsidRDefault="00BA16C5">
      <w:pPr>
        <w:pStyle w:val="FootnoteText"/>
      </w:pPr>
      <w:r>
        <w:rPr>
          <w:rStyle w:val="FootnoteReference"/>
        </w:rPr>
        <w:footnoteRef/>
      </w:r>
      <w:r>
        <w:t xml:space="preserve"> However, if reinstated electors are removed from the direct updates group, voter turnout for this group increases to 87.86%.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F46"/>
    <w:rsid w:val="00014E7F"/>
    <w:rsid w:val="00031A33"/>
    <w:rsid w:val="000456C8"/>
    <w:rsid w:val="00071DAD"/>
    <w:rsid w:val="00077606"/>
    <w:rsid w:val="00093C85"/>
    <w:rsid w:val="000B3BA7"/>
    <w:rsid w:val="000D120C"/>
    <w:rsid w:val="000D21ED"/>
    <w:rsid w:val="000D2C96"/>
    <w:rsid w:val="000D3739"/>
    <w:rsid w:val="000D4F61"/>
    <w:rsid w:val="000E712E"/>
    <w:rsid w:val="000E7DF1"/>
    <w:rsid w:val="000F1390"/>
    <w:rsid w:val="000F4FA4"/>
    <w:rsid w:val="00111E3D"/>
    <w:rsid w:val="00116A3A"/>
    <w:rsid w:val="00131BEC"/>
    <w:rsid w:val="00141C1A"/>
    <w:rsid w:val="001457CA"/>
    <w:rsid w:val="00171613"/>
    <w:rsid w:val="00186188"/>
    <w:rsid w:val="0018738F"/>
    <w:rsid w:val="00190547"/>
    <w:rsid w:val="00191DB5"/>
    <w:rsid w:val="001A0A8D"/>
    <w:rsid w:val="001A3F79"/>
    <w:rsid w:val="001C2C5E"/>
    <w:rsid w:val="001D6F46"/>
    <w:rsid w:val="002006F4"/>
    <w:rsid w:val="002042AA"/>
    <w:rsid w:val="00214790"/>
    <w:rsid w:val="002168B7"/>
    <w:rsid w:val="00247657"/>
    <w:rsid w:val="00257958"/>
    <w:rsid w:val="00276E32"/>
    <w:rsid w:val="00281CE4"/>
    <w:rsid w:val="002857D5"/>
    <w:rsid w:val="00286991"/>
    <w:rsid w:val="002D4BA2"/>
    <w:rsid w:val="00305A95"/>
    <w:rsid w:val="0031315E"/>
    <w:rsid w:val="0031377C"/>
    <w:rsid w:val="00321FB5"/>
    <w:rsid w:val="003279DF"/>
    <w:rsid w:val="00341A3C"/>
    <w:rsid w:val="00344D72"/>
    <w:rsid w:val="00345B76"/>
    <w:rsid w:val="00372E28"/>
    <w:rsid w:val="00375885"/>
    <w:rsid w:val="0038734B"/>
    <w:rsid w:val="00397ABB"/>
    <w:rsid w:val="003A0330"/>
    <w:rsid w:val="003A0FFE"/>
    <w:rsid w:val="003A1147"/>
    <w:rsid w:val="003D02F9"/>
    <w:rsid w:val="003D58BE"/>
    <w:rsid w:val="003E4086"/>
    <w:rsid w:val="003E6479"/>
    <w:rsid w:val="003E6EF0"/>
    <w:rsid w:val="003F372B"/>
    <w:rsid w:val="003F5B90"/>
    <w:rsid w:val="004033F2"/>
    <w:rsid w:val="0040694F"/>
    <w:rsid w:val="0041223C"/>
    <w:rsid w:val="00437F33"/>
    <w:rsid w:val="00441206"/>
    <w:rsid w:val="00446080"/>
    <w:rsid w:val="00462CBC"/>
    <w:rsid w:val="004648C9"/>
    <w:rsid w:val="00465F44"/>
    <w:rsid w:val="00466F20"/>
    <w:rsid w:val="004916F3"/>
    <w:rsid w:val="004A27A3"/>
    <w:rsid w:val="004A5114"/>
    <w:rsid w:val="004A5BC1"/>
    <w:rsid w:val="004B452C"/>
    <w:rsid w:val="004C0D12"/>
    <w:rsid w:val="004C75C5"/>
    <w:rsid w:val="004D0A1F"/>
    <w:rsid w:val="004E4573"/>
    <w:rsid w:val="004E4C78"/>
    <w:rsid w:val="004F6D7F"/>
    <w:rsid w:val="004F7570"/>
    <w:rsid w:val="00517C29"/>
    <w:rsid w:val="005327EE"/>
    <w:rsid w:val="005633B7"/>
    <w:rsid w:val="0057445E"/>
    <w:rsid w:val="005753F6"/>
    <w:rsid w:val="0057715E"/>
    <w:rsid w:val="00585611"/>
    <w:rsid w:val="005966FD"/>
    <w:rsid w:val="00597F3E"/>
    <w:rsid w:val="005C39D8"/>
    <w:rsid w:val="005F1794"/>
    <w:rsid w:val="005F458D"/>
    <w:rsid w:val="00610C13"/>
    <w:rsid w:val="00622207"/>
    <w:rsid w:val="0064022E"/>
    <w:rsid w:val="00691969"/>
    <w:rsid w:val="00695B7B"/>
    <w:rsid w:val="006B441E"/>
    <w:rsid w:val="006C37A7"/>
    <w:rsid w:val="006D3858"/>
    <w:rsid w:val="006E60F3"/>
    <w:rsid w:val="006F74A5"/>
    <w:rsid w:val="00704B3B"/>
    <w:rsid w:val="00722618"/>
    <w:rsid w:val="00737D56"/>
    <w:rsid w:val="00751E32"/>
    <w:rsid w:val="00755CB5"/>
    <w:rsid w:val="00770580"/>
    <w:rsid w:val="00770BE6"/>
    <w:rsid w:val="007743E7"/>
    <w:rsid w:val="00784CE9"/>
    <w:rsid w:val="00786C26"/>
    <w:rsid w:val="0079192F"/>
    <w:rsid w:val="00791E01"/>
    <w:rsid w:val="007A7A7B"/>
    <w:rsid w:val="007B3EAC"/>
    <w:rsid w:val="007B4BEA"/>
    <w:rsid w:val="007C0352"/>
    <w:rsid w:val="007C2FD4"/>
    <w:rsid w:val="007D4835"/>
    <w:rsid w:val="007E509D"/>
    <w:rsid w:val="008058DA"/>
    <w:rsid w:val="0080767C"/>
    <w:rsid w:val="00822068"/>
    <w:rsid w:val="00852C50"/>
    <w:rsid w:val="00853342"/>
    <w:rsid w:val="0087426C"/>
    <w:rsid w:val="00887FF8"/>
    <w:rsid w:val="00897284"/>
    <w:rsid w:val="008A7DAD"/>
    <w:rsid w:val="008C4F4D"/>
    <w:rsid w:val="008C6C8C"/>
    <w:rsid w:val="008D148E"/>
    <w:rsid w:val="008D343A"/>
    <w:rsid w:val="008E7CA4"/>
    <w:rsid w:val="008F0E33"/>
    <w:rsid w:val="008F1D94"/>
    <w:rsid w:val="008F35CF"/>
    <w:rsid w:val="00907AB9"/>
    <w:rsid w:val="00917A72"/>
    <w:rsid w:val="0094457A"/>
    <w:rsid w:val="00970ED3"/>
    <w:rsid w:val="00975469"/>
    <w:rsid w:val="00976A47"/>
    <w:rsid w:val="00980745"/>
    <w:rsid w:val="009812A8"/>
    <w:rsid w:val="00997673"/>
    <w:rsid w:val="009A1B75"/>
    <w:rsid w:val="009A6591"/>
    <w:rsid w:val="009A711E"/>
    <w:rsid w:val="009B2507"/>
    <w:rsid w:val="009C1AB7"/>
    <w:rsid w:val="009D6CF9"/>
    <w:rsid w:val="009F45C3"/>
    <w:rsid w:val="00A14F9F"/>
    <w:rsid w:val="00A26F13"/>
    <w:rsid w:val="00A31754"/>
    <w:rsid w:val="00A34BBB"/>
    <w:rsid w:val="00A365A1"/>
    <w:rsid w:val="00A41875"/>
    <w:rsid w:val="00A519B2"/>
    <w:rsid w:val="00A7177E"/>
    <w:rsid w:val="00A7423B"/>
    <w:rsid w:val="00A94158"/>
    <w:rsid w:val="00A9752C"/>
    <w:rsid w:val="00AA017B"/>
    <w:rsid w:val="00AA27AB"/>
    <w:rsid w:val="00AE1997"/>
    <w:rsid w:val="00AE3E4A"/>
    <w:rsid w:val="00AF21D8"/>
    <w:rsid w:val="00AF333F"/>
    <w:rsid w:val="00B01B9F"/>
    <w:rsid w:val="00B234F4"/>
    <w:rsid w:val="00B235DA"/>
    <w:rsid w:val="00B30AE9"/>
    <w:rsid w:val="00B4286B"/>
    <w:rsid w:val="00B471D1"/>
    <w:rsid w:val="00B543C4"/>
    <w:rsid w:val="00B54FEC"/>
    <w:rsid w:val="00B61F46"/>
    <w:rsid w:val="00B668B3"/>
    <w:rsid w:val="00B67034"/>
    <w:rsid w:val="00B706E6"/>
    <w:rsid w:val="00B8090A"/>
    <w:rsid w:val="00B84DD6"/>
    <w:rsid w:val="00B92B77"/>
    <w:rsid w:val="00BA16C5"/>
    <w:rsid w:val="00BA6F9B"/>
    <w:rsid w:val="00BA7472"/>
    <w:rsid w:val="00BD16A4"/>
    <w:rsid w:val="00BF0F67"/>
    <w:rsid w:val="00C055FA"/>
    <w:rsid w:val="00C16D4E"/>
    <w:rsid w:val="00C27A23"/>
    <w:rsid w:val="00C542B6"/>
    <w:rsid w:val="00C655DD"/>
    <w:rsid w:val="00C734DC"/>
    <w:rsid w:val="00C92B3F"/>
    <w:rsid w:val="00C96081"/>
    <w:rsid w:val="00C96C5F"/>
    <w:rsid w:val="00CA0BED"/>
    <w:rsid w:val="00CA4F6F"/>
    <w:rsid w:val="00CD07B6"/>
    <w:rsid w:val="00CE659E"/>
    <w:rsid w:val="00CF4892"/>
    <w:rsid w:val="00D42178"/>
    <w:rsid w:val="00D5363B"/>
    <w:rsid w:val="00D841A3"/>
    <w:rsid w:val="00D857A5"/>
    <w:rsid w:val="00D971EB"/>
    <w:rsid w:val="00DB4219"/>
    <w:rsid w:val="00DB5AF0"/>
    <w:rsid w:val="00DE2A8C"/>
    <w:rsid w:val="00DF762D"/>
    <w:rsid w:val="00E01558"/>
    <w:rsid w:val="00E12B4B"/>
    <w:rsid w:val="00E13068"/>
    <w:rsid w:val="00E13EB8"/>
    <w:rsid w:val="00E22FE9"/>
    <w:rsid w:val="00E23CD4"/>
    <w:rsid w:val="00E30028"/>
    <w:rsid w:val="00E34BFF"/>
    <w:rsid w:val="00E51DD8"/>
    <w:rsid w:val="00E70570"/>
    <w:rsid w:val="00E747C6"/>
    <w:rsid w:val="00E769A1"/>
    <w:rsid w:val="00EA2306"/>
    <w:rsid w:val="00EA6412"/>
    <w:rsid w:val="00EB3ED9"/>
    <w:rsid w:val="00EB542C"/>
    <w:rsid w:val="00EC1447"/>
    <w:rsid w:val="00EE7158"/>
    <w:rsid w:val="00EF7208"/>
    <w:rsid w:val="00F01107"/>
    <w:rsid w:val="00F04235"/>
    <w:rsid w:val="00F06695"/>
    <w:rsid w:val="00F439EF"/>
    <w:rsid w:val="00F50990"/>
    <w:rsid w:val="00F748C0"/>
    <w:rsid w:val="00F76BC3"/>
    <w:rsid w:val="00FA5047"/>
    <w:rsid w:val="00FB6DC0"/>
    <w:rsid w:val="00FD2458"/>
    <w:rsid w:val="00FD37FC"/>
    <w:rsid w:val="00FE5EDE"/>
    <w:rsid w:val="00FF3632"/>
    <w:rsid w:val="00FF5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37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37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0E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7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377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13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7C"/>
  </w:style>
  <w:style w:type="paragraph" w:styleId="Footer">
    <w:name w:val="footer"/>
    <w:basedOn w:val="Normal"/>
    <w:link w:val="FooterChar"/>
    <w:uiPriority w:val="99"/>
    <w:unhideWhenUsed/>
    <w:rsid w:val="00313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77C"/>
  </w:style>
  <w:style w:type="paragraph" w:styleId="FootnoteText">
    <w:name w:val="footnote text"/>
    <w:basedOn w:val="Normal"/>
    <w:link w:val="FootnoteTextChar"/>
    <w:uiPriority w:val="99"/>
    <w:semiHidden/>
    <w:unhideWhenUsed/>
    <w:rsid w:val="00E13E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EB8"/>
    <w:rPr>
      <w:sz w:val="20"/>
      <w:szCs w:val="20"/>
    </w:rPr>
  </w:style>
  <w:style w:type="character" w:styleId="FootnoteReference">
    <w:name w:val="footnote reference"/>
    <w:basedOn w:val="DefaultParagraphFont"/>
    <w:uiPriority w:val="99"/>
    <w:semiHidden/>
    <w:unhideWhenUsed/>
    <w:rsid w:val="00E13EB8"/>
    <w:rPr>
      <w:vertAlign w:val="superscript"/>
    </w:rPr>
  </w:style>
  <w:style w:type="paragraph" w:styleId="BalloonText">
    <w:name w:val="Balloon Text"/>
    <w:basedOn w:val="Normal"/>
    <w:link w:val="BalloonTextChar"/>
    <w:uiPriority w:val="99"/>
    <w:semiHidden/>
    <w:unhideWhenUsed/>
    <w:rsid w:val="00CA0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BED"/>
    <w:rPr>
      <w:rFonts w:ascii="Tahoma" w:hAnsi="Tahoma" w:cs="Tahoma"/>
      <w:sz w:val="16"/>
      <w:szCs w:val="16"/>
    </w:rPr>
  </w:style>
  <w:style w:type="character" w:customStyle="1" w:styleId="Heading3Char">
    <w:name w:val="Heading 3 Char"/>
    <w:basedOn w:val="DefaultParagraphFont"/>
    <w:link w:val="Heading3"/>
    <w:uiPriority w:val="9"/>
    <w:rsid w:val="008F0E33"/>
    <w:rPr>
      <w:rFonts w:asciiTheme="majorHAnsi" w:eastAsiaTheme="majorEastAsia" w:hAnsiTheme="majorHAnsi" w:cstheme="majorBidi"/>
      <w:b/>
      <w:bCs/>
      <w:color w:val="4F81BD" w:themeColor="accent1"/>
    </w:rPr>
  </w:style>
  <w:style w:type="table" w:styleId="TableGrid">
    <w:name w:val="Table Grid"/>
    <w:basedOn w:val="TableNormal"/>
    <w:uiPriority w:val="59"/>
    <w:rsid w:val="00BA7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6EF0"/>
    <w:rPr>
      <w:sz w:val="16"/>
      <w:szCs w:val="16"/>
    </w:rPr>
  </w:style>
  <w:style w:type="paragraph" w:styleId="CommentText">
    <w:name w:val="annotation text"/>
    <w:basedOn w:val="Normal"/>
    <w:link w:val="CommentTextChar"/>
    <w:uiPriority w:val="99"/>
    <w:semiHidden/>
    <w:unhideWhenUsed/>
    <w:rsid w:val="003E6EF0"/>
    <w:pPr>
      <w:spacing w:line="240" w:lineRule="auto"/>
    </w:pPr>
    <w:rPr>
      <w:sz w:val="20"/>
      <w:szCs w:val="20"/>
    </w:rPr>
  </w:style>
  <w:style w:type="character" w:customStyle="1" w:styleId="CommentTextChar">
    <w:name w:val="Comment Text Char"/>
    <w:basedOn w:val="DefaultParagraphFont"/>
    <w:link w:val="CommentText"/>
    <w:uiPriority w:val="99"/>
    <w:semiHidden/>
    <w:rsid w:val="003E6EF0"/>
    <w:rPr>
      <w:sz w:val="20"/>
      <w:szCs w:val="20"/>
    </w:rPr>
  </w:style>
  <w:style w:type="paragraph" w:styleId="CommentSubject">
    <w:name w:val="annotation subject"/>
    <w:basedOn w:val="CommentText"/>
    <w:next w:val="CommentText"/>
    <w:link w:val="CommentSubjectChar"/>
    <w:uiPriority w:val="99"/>
    <w:semiHidden/>
    <w:unhideWhenUsed/>
    <w:rsid w:val="003E6EF0"/>
    <w:rPr>
      <w:b/>
      <w:bCs/>
    </w:rPr>
  </w:style>
  <w:style w:type="character" w:customStyle="1" w:styleId="CommentSubjectChar">
    <w:name w:val="Comment Subject Char"/>
    <w:basedOn w:val="CommentTextChar"/>
    <w:link w:val="CommentSubject"/>
    <w:uiPriority w:val="99"/>
    <w:semiHidden/>
    <w:rsid w:val="003E6EF0"/>
    <w:rPr>
      <w:b/>
      <w:bCs/>
      <w:sz w:val="20"/>
      <w:szCs w:val="20"/>
    </w:rPr>
  </w:style>
  <w:style w:type="table" w:styleId="LightList-Accent3">
    <w:name w:val="Light List Accent 3"/>
    <w:basedOn w:val="TableNormal"/>
    <w:uiPriority w:val="61"/>
    <w:rsid w:val="00FF5D9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basedOn w:val="DefaultParagraphFont"/>
    <w:uiPriority w:val="99"/>
    <w:unhideWhenUsed/>
    <w:rsid w:val="0080767C"/>
    <w:rPr>
      <w:color w:val="0000FF"/>
      <w:u w:val="single"/>
    </w:rPr>
  </w:style>
  <w:style w:type="paragraph" w:styleId="TOCHeading">
    <w:name w:val="TOC Heading"/>
    <w:basedOn w:val="Heading1"/>
    <w:next w:val="Normal"/>
    <w:uiPriority w:val="39"/>
    <w:semiHidden/>
    <w:unhideWhenUsed/>
    <w:qFormat/>
    <w:rsid w:val="007B4BEA"/>
    <w:pPr>
      <w:outlineLvl w:val="9"/>
    </w:pPr>
    <w:rPr>
      <w:lang w:val="en-US" w:eastAsia="ja-JP"/>
    </w:rPr>
  </w:style>
  <w:style w:type="paragraph" w:styleId="TOC1">
    <w:name w:val="toc 1"/>
    <w:basedOn w:val="Normal"/>
    <w:next w:val="Normal"/>
    <w:autoRedefine/>
    <w:uiPriority w:val="39"/>
    <w:unhideWhenUsed/>
    <w:rsid w:val="007B4BEA"/>
    <w:pPr>
      <w:spacing w:after="100"/>
    </w:pPr>
  </w:style>
  <w:style w:type="paragraph" w:styleId="TOC2">
    <w:name w:val="toc 2"/>
    <w:basedOn w:val="Normal"/>
    <w:next w:val="Normal"/>
    <w:autoRedefine/>
    <w:uiPriority w:val="39"/>
    <w:unhideWhenUsed/>
    <w:rsid w:val="007B4BEA"/>
    <w:pPr>
      <w:spacing w:after="100"/>
      <w:ind w:left="220"/>
    </w:pPr>
  </w:style>
  <w:style w:type="paragraph" w:styleId="TOC3">
    <w:name w:val="toc 3"/>
    <w:basedOn w:val="Normal"/>
    <w:next w:val="Normal"/>
    <w:autoRedefine/>
    <w:uiPriority w:val="39"/>
    <w:unhideWhenUsed/>
    <w:rsid w:val="007B4BE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37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137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0E3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77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1377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137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377C"/>
  </w:style>
  <w:style w:type="paragraph" w:styleId="Footer">
    <w:name w:val="footer"/>
    <w:basedOn w:val="Normal"/>
    <w:link w:val="FooterChar"/>
    <w:uiPriority w:val="99"/>
    <w:unhideWhenUsed/>
    <w:rsid w:val="003137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377C"/>
  </w:style>
  <w:style w:type="paragraph" w:styleId="FootnoteText">
    <w:name w:val="footnote text"/>
    <w:basedOn w:val="Normal"/>
    <w:link w:val="FootnoteTextChar"/>
    <w:uiPriority w:val="99"/>
    <w:semiHidden/>
    <w:unhideWhenUsed/>
    <w:rsid w:val="00E13E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EB8"/>
    <w:rPr>
      <w:sz w:val="20"/>
      <w:szCs w:val="20"/>
    </w:rPr>
  </w:style>
  <w:style w:type="character" w:styleId="FootnoteReference">
    <w:name w:val="footnote reference"/>
    <w:basedOn w:val="DefaultParagraphFont"/>
    <w:uiPriority w:val="99"/>
    <w:semiHidden/>
    <w:unhideWhenUsed/>
    <w:rsid w:val="00E13EB8"/>
    <w:rPr>
      <w:vertAlign w:val="superscript"/>
    </w:rPr>
  </w:style>
  <w:style w:type="paragraph" w:styleId="BalloonText">
    <w:name w:val="Balloon Text"/>
    <w:basedOn w:val="Normal"/>
    <w:link w:val="BalloonTextChar"/>
    <w:uiPriority w:val="99"/>
    <w:semiHidden/>
    <w:unhideWhenUsed/>
    <w:rsid w:val="00CA0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BED"/>
    <w:rPr>
      <w:rFonts w:ascii="Tahoma" w:hAnsi="Tahoma" w:cs="Tahoma"/>
      <w:sz w:val="16"/>
      <w:szCs w:val="16"/>
    </w:rPr>
  </w:style>
  <w:style w:type="character" w:customStyle="1" w:styleId="Heading3Char">
    <w:name w:val="Heading 3 Char"/>
    <w:basedOn w:val="DefaultParagraphFont"/>
    <w:link w:val="Heading3"/>
    <w:uiPriority w:val="9"/>
    <w:rsid w:val="008F0E33"/>
    <w:rPr>
      <w:rFonts w:asciiTheme="majorHAnsi" w:eastAsiaTheme="majorEastAsia" w:hAnsiTheme="majorHAnsi" w:cstheme="majorBidi"/>
      <w:b/>
      <w:bCs/>
      <w:color w:val="4F81BD" w:themeColor="accent1"/>
    </w:rPr>
  </w:style>
  <w:style w:type="table" w:styleId="TableGrid">
    <w:name w:val="Table Grid"/>
    <w:basedOn w:val="TableNormal"/>
    <w:uiPriority w:val="59"/>
    <w:rsid w:val="00BA74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6EF0"/>
    <w:rPr>
      <w:sz w:val="16"/>
      <w:szCs w:val="16"/>
    </w:rPr>
  </w:style>
  <w:style w:type="paragraph" w:styleId="CommentText">
    <w:name w:val="annotation text"/>
    <w:basedOn w:val="Normal"/>
    <w:link w:val="CommentTextChar"/>
    <w:uiPriority w:val="99"/>
    <w:semiHidden/>
    <w:unhideWhenUsed/>
    <w:rsid w:val="003E6EF0"/>
    <w:pPr>
      <w:spacing w:line="240" w:lineRule="auto"/>
    </w:pPr>
    <w:rPr>
      <w:sz w:val="20"/>
      <w:szCs w:val="20"/>
    </w:rPr>
  </w:style>
  <w:style w:type="character" w:customStyle="1" w:styleId="CommentTextChar">
    <w:name w:val="Comment Text Char"/>
    <w:basedOn w:val="DefaultParagraphFont"/>
    <w:link w:val="CommentText"/>
    <w:uiPriority w:val="99"/>
    <w:semiHidden/>
    <w:rsid w:val="003E6EF0"/>
    <w:rPr>
      <w:sz w:val="20"/>
      <w:szCs w:val="20"/>
    </w:rPr>
  </w:style>
  <w:style w:type="paragraph" w:styleId="CommentSubject">
    <w:name w:val="annotation subject"/>
    <w:basedOn w:val="CommentText"/>
    <w:next w:val="CommentText"/>
    <w:link w:val="CommentSubjectChar"/>
    <w:uiPriority w:val="99"/>
    <w:semiHidden/>
    <w:unhideWhenUsed/>
    <w:rsid w:val="003E6EF0"/>
    <w:rPr>
      <w:b/>
      <w:bCs/>
    </w:rPr>
  </w:style>
  <w:style w:type="character" w:customStyle="1" w:styleId="CommentSubjectChar">
    <w:name w:val="Comment Subject Char"/>
    <w:basedOn w:val="CommentTextChar"/>
    <w:link w:val="CommentSubject"/>
    <w:uiPriority w:val="99"/>
    <w:semiHidden/>
    <w:rsid w:val="003E6EF0"/>
    <w:rPr>
      <w:b/>
      <w:bCs/>
      <w:sz w:val="20"/>
      <w:szCs w:val="20"/>
    </w:rPr>
  </w:style>
  <w:style w:type="table" w:styleId="LightList-Accent3">
    <w:name w:val="Light List Accent 3"/>
    <w:basedOn w:val="TableNormal"/>
    <w:uiPriority w:val="61"/>
    <w:rsid w:val="00FF5D9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yperlink">
    <w:name w:val="Hyperlink"/>
    <w:basedOn w:val="DefaultParagraphFont"/>
    <w:uiPriority w:val="99"/>
    <w:unhideWhenUsed/>
    <w:rsid w:val="0080767C"/>
    <w:rPr>
      <w:color w:val="0000FF"/>
      <w:u w:val="single"/>
    </w:rPr>
  </w:style>
  <w:style w:type="paragraph" w:styleId="TOCHeading">
    <w:name w:val="TOC Heading"/>
    <w:basedOn w:val="Heading1"/>
    <w:next w:val="Normal"/>
    <w:uiPriority w:val="39"/>
    <w:semiHidden/>
    <w:unhideWhenUsed/>
    <w:qFormat/>
    <w:rsid w:val="007B4BEA"/>
    <w:pPr>
      <w:outlineLvl w:val="9"/>
    </w:pPr>
    <w:rPr>
      <w:lang w:val="en-US" w:eastAsia="ja-JP"/>
    </w:rPr>
  </w:style>
  <w:style w:type="paragraph" w:styleId="TOC1">
    <w:name w:val="toc 1"/>
    <w:basedOn w:val="Normal"/>
    <w:next w:val="Normal"/>
    <w:autoRedefine/>
    <w:uiPriority w:val="39"/>
    <w:unhideWhenUsed/>
    <w:rsid w:val="007B4BEA"/>
    <w:pPr>
      <w:spacing w:after="100"/>
    </w:pPr>
  </w:style>
  <w:style w:type="paragraph" w:styleId="TOC2">
    <w:name w:val="toc 2"/>
    <w:basedOn w:val="Normal"/>
    <w:next w:val="Normal"/>
    <w:autoRedefine/>
    <w:uiPriority w:val="39"/>
    <w:unhideWhenUsed/>
    <w:rsid w:val="007B4BEA"/>
    <w:pPr>
      <w:spacing w:after="100"/>
      <w:ind w:left="220"/>
    </w:pPr>
  </w:style>
  <w:style w:type="paragraph" w:styleId="TOC3">
    <w:name w:val="toc 3"/>
    <w:basedOn w:val="Normal"/>
    <w:next w:val="Normal"/>
    <w:autoRedefine/>
    <w:uiPriority w:val="39"/>
    <w:unhideWhenUsed/>
    <w:rsid w:val="007B4BE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92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d/4.0/"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AU"/>
              <a:t>Fig 1: Direct enrolment transactions</a:t>
            </a:r>
          </a:p>
        </c:rich>
      </c:tx>
      <c:overlay val="0"/>
    </c:title>
    <c:autoTitleDeleted val="0"/>
    <c:plotArea>
      <c:layout/>
      <c:barChart>
        <c:barDir val="col"/>
        <c:grouping val="clustered"/>
        <c:varyColors val="0"/>
        <c:ser>
          <c:idx val="0"/>
          <c:order val="0"/>
          <c:tx>
            <c:strRef>
              <c:f>Sheet1!$B$1</c:f>
              <c:strCache>
                <c:ptCount val="1"/>
                <c:pt idx="0">
                  <c:v>Direct enrolment transations</c:v>
                </c:pt>
              </c:strCache>
            </c:strRef>
          </c:tx>
          <c:invertIfNegative val="0"/>
          <c:cat>
            <c:strRef>
              <c:f>Sheet1!$A$2:$A$7</c:f>
              <c:strCache>
                <c:ptCount val="6"/>
                <c:pt idx="0">
                  <c:v>2010-11</c:v>
                </c:pt>
                <c:pt idx="1">
                  <c:v>2011-12</c:v>
                </c:pt>
                <c:pt idx="2">
                  <c:v>2012-13</c:v>
                </c:pt>
                <c:pt idx="3">
                  <c:v>2013-14</c:v>
                </c:pt>
                <c:pt idx="4">
                  <c:v>2014-15</c:v>
                </c:pt>
                <c:pt idx="5">
                  <c:v>2015-16</c:v>
                </c:pt>
              </c:strCache>
            </c:strRef>
          </c:cat>
          <c:val>
            <c:numRef>
              <c:f>Sheet1!$B$2:$B$7</c:f>
              <c:numCache>
                <c:formatCode>#,##0</c:formatCode>
                <c:ptCount val="6"/>
                <c:pt idx="0">
                  <c:v>5904</c:v>
                </c:pt>
                <c:pt idx="1">
                  <c:v>36988</c:v>
                </c:pt>
                <c:pt idx="2">
                  <c:v>112499</c:v>
                </c:pt>
                <c:pt idx="3">
                  <c:v>246362</c:v>
                </c:pt>
                <c:pt idx="4">
                  <c:v>257972</c:v>
                </c:pt>
                <c:pt idx="5">
                  <c:v>191849</c:v>
                </c:pt>
              </c:numCache>
            </c:numRef>
          </c:val>
        </c:ser>
        <c:dLbls>
          <c:showLegendKey val="0"/>
          <c:showVal val="0"/>
          <c:showCatName val="0"/>
          <c:showSerName val="0"/>
          <c:showPercent val="0"/>
          <c:showBubbleSize val="0"/>
        </c:dLbls>
        <c:gapWidth val="150"/>
        <c:axId val="127332352"/>
        <c:axId val="127333888"/>
      </c:barChart>
      <c:catAx>
        <c:axId val="127332352"/>
        <c:scaling>
          <c:orientation val="minMax"/>
        </c:scaling>
        <c:delete val="0"/>
        <c:axPos val="b"/>
        <c:majorTickMark val="out"/>
        <c:minorTickMark val="none"/>
        <c:tickLblPos val="nextTo"/>
        <c:crossAx val="127333888"/>
        <c:crosses val="autoZero"/>
        <c:auto val="1"/>
        <c:lblAlgn val="ctr"/>
        <c:lblOffset val="100"/>
        <c:noMultiLvlLbl val="0"/>
      </c:catAx>
      <c:valAx>
        <c:axId val="127333888"/>
        <c:scaling>
          <c:orientation val="minMax"/>
        </c:scaling>
        <c:delete val="0"/>
        <c:axPos val="l"/>
        <c:majorGridlines/>
        <c:numFmt formatCode="#,##0" sourceLinked="1"/>
        <c:majorTickMark val="out"/>
        <c:minorTickMark val="none"/>
        <c:tickLblPos val="nextTo"/>
        <c:crossAx val="1273323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21B1-CB3D-4568-B139-BD8B08337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6039</Words>
  <Characters>34425</Characters>
  <Application>Microsoft Office Word</Application>
  <DocSecurity>4</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SHOSYS801</Company>
  <LinksUpToDate>false</LinksUpToDate>
  <CharactersWithSpaces>40384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lukes</dc:creator>
  <cp:lastModifiedBy>Hien Doan</cp:lastModifiedBy>
  <cp:revision>2</cp:revision>
  <cp:lastPrinted>2017-09-07T01:57:00Z</cp:lastPrinted>
  <dcterms:created xsi:type="dcterms:W3CDTF">2017-10-04T21:41:00Z</dcterms:created>
  <dcterms:modified xsi:type="dcterms:W3CDTF">2017-10-04T21:41:00Z</dcterms:modified>
</cp:coreProperties>
</file>